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AUTOZONE,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1-10714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62-1482048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 South Front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Memphis, Tennessee 38103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495-6500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AZO</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May 26, 2026, AutoZone, Inc. issued a press release announcing its earnings for the fiscal quarter ended May 9, 2026 which is furnished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560" w:type="dxa"/>
            <w:vAlign w:val="bottom"/>
          </w:tcPr>
          <w:p>
            <w:pPr>
              <w:spacing w:after="0"/>
              <w:rPr>
                <w:sz w:val="20"/>
                <w:szCs w:val="20"/>
                <w:color w:val="auto"/>
              </w:rPr>
            </w:pPr>
          </w:p>
        </w:tc>
      </w:tr>
      <w:tr>
        <w:trPr>
          <w:trHeight w:val="39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May 26, 2026</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75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0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AUTOZONE,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40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Jamere Jackson</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Jamere Jackson</w:t>
            </w: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260"/>
        <w:spacing w:after="0" w:line="287" w:lineRule="auto"/>
        <w:rPr>
          <w:sz w:val="20"/>
          <w:szCs w:val="20"/>
          <w:color w:val="auto"/>
        </w:rPr>
      </w:pPr>
      <w:r>
        <w:rPr>
          <w:rFonts w:ascii="Times New Roman" w:cs="Times New Roman" w:eastAsia="Times New Roman" w:hAnsi="Times New Roman"/>
          <w:sz w:val="25"/>
          <w:szCs w:val="25"/>
          <w:b w:val="1"/>
          <w:bCs w:val="1"/>
          <w:color w:val="auto"/>
        </w:rPr>
        <w:t>AutoZone 3rd Quarter Total Company Same Store Sales Increase 3.9%; Domestic Same Store Sales Increase 4.1%; EPS of $38.07</w:t>
      </w:r>
    </w:p>
    <w:p>
      <w:pPr>
        <w:spacing w:after="0" w:line="12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MEMPHIS, Tenn., May 26, 2026 (GLOBE NEWSWIRE) -- AutoZone, Inc. (NYSE: AZO) today reported net sales of $4.8 billion for its third quarter (12 weeks) ended May 9, 2026, an increase of 8.4% from the third quarter of fiscal 2025 (12 weeks). Same store sales, or sales for our domestic and international stores open at least one year,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Constant</w:t>
            </w: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Constant</w:t>
            </w:r>
          </w:p>
        </w:tc>
      </w:tr>
      <w:tr>
        <w:trPr>
          <w:trHeight w:val="270"/>
        </w:trPr>
        <w:tc>
          <w:tcPr>
            <w:tcW w:w="4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Currency</w:t>
            </w:r>
          </w:p>
        </w:tc>
        <w:tc>
          <w:tcPr>
            <w:tcW w:w="1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Currency</w:t>
            </w:r>
          </w:p>
        </w:tc>
      </w:tr>
      <w:tr>
        <w:trPr>
          <w:trHeight w:val="283"/>
        </w:trPr>
        <w:tc>
          <w:tcPr>
            <w:tcW w:w="4520" w:type="dxa"/>
            <w:vAlign w:val="bottom"/>
          </w:tcPr>
          <w:p>
            <w:pPr>
              <w:spacing w:after="0"/>
              <w:rPr>
                <w:sz w:val="24"/>
                <w:szCs w:val="24"/>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12 Weeks</w:t>
            </w: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12 Weeks*</w:t>
            </w: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36 Weeks</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36 Weeks*</w:t>
            </w:r>
          </w:p>
        </w:tc>
      </w:tr>
      <w:tr>
        <w:trPr>
          <w:trHeight w:val="520"/>
        </w:trPr>
        <w:tc>
          <w:tcPr>
            <w:tcW w:w="4520" w:type="dxa"/>
            <w:vAlign w:val="bottom"/>
          </w:tcPr>
          <w:p>
            <w:pPr>
              <w:spacing w:after="0"/>
              <w:rPr>
                <w:sz w:val="20"/>
                <w:szCs w:val="20"/>
                <w:color w:val="auto"/>
              </w:rPr>
            </w:pPr>
            <w:r>
              <w:rPr>
                <w:rFonts w:ascii="Times New Roman" w:cs="Times New Roman" w:eastAsia="Times New Roman" w:hAnsi="Times New Roman"/>
                <w:sz w:val="22"/>
                <w:szCs w:val="22"/>
                <w:color w:val="auto"/>
              </w:rPr>
              <w:t>Domestic</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8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42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40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66"/>
        </w:trPr>
        <w:tc>
          <w:tcPr>
            <w:tcW w:w="4520" w:type="dxa"/>
            <w:vAlign w:val="bottom"/>
          </w:tcPr>
          <w:p>
            <w:pPr>
              <w:spacing w:after="0"/>
              <w:rPr>
                <w:sz w:val="20"/>
                <w:szCs w:val="20"/>
                <w:color w:val="auto"/>
              </w:rPr>
            </w:pPr>
            <w:r>
              <w:rPr>
                <w:rFonts w:ascii="Times New Roman" w:cs="Times New Roman" w:eastAsia="Times New Roman" w:hAnsi="Times New Roman"/>
                <w:sz w:val="22"/>
                <w:szCs w:val="22"/>
                <w:color w:val="auto"/>
              </w:rPr>
              <w:t>International</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c>
          <w:tcPr>
            <w:tcW w:w="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4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86"/>
        </w:trPr>
        <w:tc>
          <w:tcPr>
            <w:tcW w:w="4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ind w:left="280"/>
        <w:spacing w:after="0"/>
        <w:rPr>
          <w:sz w:val="20"/>
          <w:szCs w:val="20"/>
          <w:color w:val="auto"/>
        </w:rPr>
      </w:pPr>
      <w:r>
        <w:rPr>
          <w:rFonts w:ascii="Times New Roman" w:cs="Times New Roman" w:eastAsia="Times New Roman" w:hAnsi="Times New Roman"/>
          <w:sz w:val="22"/>
          <w:szCs w:val="22"/>
          <w:color w:val="auto"/>
        </w:rPr>
        <w:t>* Excludes impacts from fluctuations of foreign exchange rates.</w:t>
      </w:r>
    </w:p>
    <w:p>
      <w:pPr>
        <w:spacing w:after="0" w:line="200" w:lineRule="exact"/>
        <w:rPr>
          <w:sz w:val="20"/>
          <w:szCs w:val="20"/>
          <w:color w:val="auto"/>
        </w:rPr>
      </w:pPr>
    </w:p>
    <w:p>
      <w:pPr>
        <w:spacing w:after="0" w:line="25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For the quarter, gross profit, as a percentage of sales, was 52.2%, a decrease of 57 basis points versus the prior year. The decrease in gross margin was driven by a 77 basis point net non-cash LIFO impact partially offset by other gross margin improvements. Operating expenses, as a percentage of sales, were 33.1% versus last year at 33.3% with leverage driven by strong top line sales growth and expense management.</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Operating profit increased 6.6% to $923.8 million. Net income for the quarter was $641.5 million compared to $608.4 million in the same period last year, while diluted earnings per share were $38.07 compared to last year at $35.36.</w:t>
      </w:r>
    </w:p>
    <w:p>
      <w:pPr>
        <w:spacing w:after="0" w:line="15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Under its share repurchase program, AutoZone repurchased 164 thousand shares of its common stock at an average price per share of $3,582, for a total investment of $586.3 million. At the end of the third quarter, the Company had $0.8 billion remaining under its current share repurchase authorization.</w:t>
      </w:r>
    </w:p>
    <w:p>
      <w:pPr>
        <w:spacing w:after="0" w:line="17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Company’s inventory increased 10.8% over the same period last year, driven primarily by growth initiatives and inflation. Net inventory, defined as merchandise inventories less accounts payable, on a per store basis, was negative $107 thousand versus negative $142 thousand last year and negative $105 thousand last quarter.</w:t>
      </w:r>
    </w:p>
    <w:p>
      <w:pPr>
        <w:spacing w:after="0" w:line="17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“I want to thank our AutoZoners across the globe for delivering on our promise of “WOW” customer service and strong financial results this past quarter. Along with strong domestic sales results, we managed our expenses well and returned to an operating margin north of 19% for the quarter. We continue to execute well on our growth strategies behind strong execution. Domestically, both DIY and Commercial sales grew impressively this past quarter, while our international sales, in constant currency, continued to be challenged as both Mexico and Brazil performed similarly to last quarter. While international performance has been below our plan, we believe our market share continues to grow as we outpace our competition in both international marketplaces. We were also pleased to have opened 82 new stores globally in the quarter, in line with our current expectations to open approximately 355-365 stores for the full fiscal year. As we remain focused on gaining market share in our industry, we will stay committed to a disciplined approach of increasing earnings and cash flows to drive shareholder value,” said Phil Daniele, President and Chief Executive Officer.</w:t>
      </w:r>
    </w:p>
    <w:p>
      <w:pPr>
        <w:spacing w:after="0" w:line="17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During the quarter ended May 9, 2026, AutoZone opened 57 new stores in the U.S., 20 in Mexico and five in Brazil for a total of 82 new stores. As of May 9, 2026, the Company had 6,766 stores in the U.S., 933 in Mexico and 157 in Brazil for a total store count of 7,856.</w:t>
      </w:r>
    </w:p>
    <w:p>
      <w:pPr>
        <w:spacing w:after="0" w:line="17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AutoZone is a leading retailer and distributor of automotive replacement parts and accessories in the Americas. Each store carries an extensive product line for cars, sport utility vehicles, vans and light duty trucks, including new and remanufactured automotive hard parts, maintenance items, accessories, and non-automotive products. The majority of stores have a commercial sales program that provides prompt delivery of parts and other products and commercial credit to local, regional and national repair garages, dealers, service stations, fleet owners and other accounts. AutoZone also sells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AutoZone does not derive revenue from automotive repair or installation services.</w:t>
      </w:r>
    </w:p>
    <w:p>
      <w:pPr>
        <w:spacing w:after="0" w:line="175"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AutoZone will host a conference call this morning, Tuesday, May 26, 2026, beginning at 10:00 a.m. (ET) to discuss its third quarter results. This call is being webcast and can be accessed, along with supporting slides, at AutoZone’s website at www.autozone.com by clicking on Investor Relations. Investors may also listen to the call by dialing (888) 506-0062, passcode AUTOZONE. In addition, a telephone replay will be available by dialing (877) 481-4010, replay passcode 53849 through June 23, 2026.</w:t>
      </w:r>
    </w:p>
    <w:p>
      <w:pPr>
        <w:sectPr>
          <w:pgSz w:w="11900" w:h="16838" w:orient="portrait"/>
          <w:cols w:equalWidth="0" w:num="1">
            <w:col w:w="11240"/>
          </w:cols>
          <w:pgMar w:left="320" w:top="108" w:right="339" w:bottom="44" w:gutter="0" w:footer="0" w:header="0"/>
        </w:sectPr>
      </w:pPr>
    </w:p>
    <w:bookmarkStart w:id="4" w:name="page5"/>
    <w:bookmarkEnd w:id="4"/>
    <w:p>
      <w:pPr>
        <w:ind w:right="80"/>
        <w:spacing w:after="0" w:line="234" w:lineRule="auto"/>
        <w:rPr>
          <w:sz w:val="20"/>
          <w:szCs w:val="20"/>
          <w:color w:val="auto"/>
        </w:rPr>
      </w:pPr>
      <w:r>
        <w:rPr>
          <w:rFonts w:ascii="Times New Roman" w:cs="Times New Roman" w:eastAsia="Times New Roman" w:hAnsi="Times New Roman"/>
          <w:sz w:val="22"/>
          <w:szCs w:val="22"/>
          <w:color w:val="auto"/>
        </w:rPr>
        <w:t>This release includes certain financial information not derived in accordance with generally accepted accounting principles (“GAAP”). These non-GAAP measures include adjustments to reflect return on invested capital, adjusted debt and adjusted debt to earnings before interest, taxes, depreciation, amortization, rent and share-based expense (“EBITDAR”). The Company believes that the presentation of these non-GAAP measures provides information that is useful to investors as it indicates more clearly the Company’s comparative year-to-year operating results, but this information should not be considered a substitute for any measures derived in accordance with GAAP. Management targets the Company’s capital structure in order to maintain its investment grade credit ratings. The Company believes this is important information for the management of its debt levels and share repurchases. We have included a reconciliation of this additional information to the most comparable GAAP measures in the accompanying reconciliation tables.</w:t>
      </w:r>
    </w:p>
    <w:p>
      <w:pPr>
        <w:spacing w:after="0" w:line="1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Certain statements herein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1 of our Annual Report on Form 10-K for the year ended August 30, 2025. Forward-looking statements are not guarantees of future performance and actual results may differ materially from those contemplated by such forward-looking statements. Events described above and in the “Risk Factors” section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Brian Campbell at (901) 495-7005, brian.campbell@autozone.com</w:t>
      </w:r>
    </w:p>
    <w:p>
      <w:pPr>
        <w:spacing w:after="0"/>
        <w:rPr>
          <w:sz w:val="20"/>
          <w:szCs w:val="20"/>
          <w:color w:val="auto"/>
        </w:rPr>
      </w:pPr>
      <w:r>
        <w:rPr>
          <w:rFonts w:ascii="Times New Roman" w:cs="Times New Roman" w:eastAsia="Times New Roman" w:hAnsi="Times New Roman"/>
          <w:sz w:val="22"/>
          <w:szCs w:val="22"/>
          <w:color w:val="auto"/>
        </w:rPr>
        <w:t>Media: Jennifer Hughes at (901) 495-6022, jennifer.hughes@autozone.com</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5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AutoZone's 3rd Quarter Highlights - Fiscal 2026</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5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3rd Quarter, FY2026</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 thousands, except per share data)</w:t>
            </w:r>
          </w:p>
        </w:tc>
        <w:tc>
          <w:tcPr>
            <w:tcW w:w="200" w:type="dxa"/>
            <w:vAlign w:val="bottom"/>
          </w:tcPr>
          <w:p>
            <w:pPr>
              <w:spacing w:after="0"/>
              <w:rPr>
                <w:sz w:val="24"/>
                <w:szCs w:val="24"/>
                <w:color w:val="auto"/>
              </w:rPr>
            </w:pPr>
          </w:p>
        </w:tc>
        <w:tc>
          <w:tcPr>
            <w:tcW w:w="3280" w:type="dxa"/>
            <w:vAlign w:val="bottom"/>
            <w:gridSpan w:val="4"/>
            <w:vMerge w:val="restart"/>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GAAP Results</w:t>
            </w:r>
          </w:p>
        </w:tc>
        <w:tc>
          <w:tcPr>
            <w:tcW w:w="0" w:type="dxa"/>
            <w:vAlign w:val="bottom"/>
          </w:tcPr>
          <w:p>
            <w:pPr>
              <w:spacing w:after="0"/>
              <w:rPr>
                <w:sz w:val="1"/>
                <w:szCs w:val="1"/>
                <w:color w:val="auto"/>
              </w:rPr>
            </w:pPr>
          </w:p>
        </w:tc>
      </w:tr>
      <w:tr>
        <w:trPr>
          <w:trHeight w:val="271"/>
        </w:trPr>
        <w:tc>
          <w:tcPr>
            <w:tcW w:w="5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5940" w:type="dxa"/>
            <w:vAlign w:val="bottom"/>
          </w:tcPr>
          <w:p>
            <w:pPr>
              <w:spacing w:after="0"/>
              <w:rPr>
                <w:sz w:val="21"/>
                <w:szCs w:val="21"/>
                <w:color w:val="auto"/>
              </w:rPr>
            </w:pPr>
          </w:p>
        </w:tc>
        <w:tc>
          <w:tcPr>
            <w:tcW w:w="1800" w:type="dxa"/>
            <w:vAlign w:val="bottom"/>
            <w:gridSpan w:val="3"/>
          </w:tcPr>
          <w:p>
            <w:pPr>
              <w:jc w:val="center"/>
              <w:ind w:right="120"/>
              <w:spacing w:after="0" w:line="246" w:lineRule="exact"/>
              <w:rPr>
                <w:sz w:val="20"/>
                <w:szCs w:val="20"/>
                <w:color w:val="auto"/>
              </w:rPr>
            </w:pPr>
            <w:r>
              <w:rPr>
                <w:rFonts w:ascii="Times New Roman" w:cs="Times New Roman" w:eastAsia="Times New Roman" w:hAnsi="Times New Roman"/>
                <w:sz w:val="22"/>
                <w:szCs w:val="22"/>
                <w:b w:val="1"/>
                <w:bCs w:val="1"/>
                <w:color w:val="auto"/>
                <w:w w:val="97"/>
              </w:rPr>
              <w:t>12 Weeks Ended</w:t>
            </w:r>
          </w:p>
        </w:tc>
        <w:tc>
          <w:tcPr>
            <w:tcW w:w="168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22"/>
                <w:szCs w:val="22"/>
                <w:b w:val="1"/>
                <w:bCs w:val="1"/>
                <w:color w:val="auto"/>
              </w:rPr>
              <w:t>12 Weeks Ended</w:t>
            </w:r>
          </w:p>
        </w:tc>
        <w:tc>
          <w:tcPr>
            <w:tcW w:w="0" w:type="dxa"/>
            <w:vAlign w:val="bottom"/>
          </w:tcPr>
          <w:p>
            <w:pPr>
              <w:spacing w:after="0"/>
              <w:rPr>
                <w:sz w:val="1"/>
                <w:szCs w:val="1"/>
                <w:color w:val="auto"/>
              </w:rPr>
            </w:pPr>
          </w:p>
        </w:tc>
      </w:tr>
      <w:tr>
        <w:trPr>
          <w:trHeight w:val="287"/>
        </w:trPr>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May 9, 2026</w:t>
            </w:r>
          </w:p>
        </w:tc>
        <w:tc>
          <w:tcPr>
            <w:tcW w:w="180" w:type="dxa"/>
            <w:vAlign w:val="bottom"/>
          </w:tcPr>
          <w:p>
            <w:pPr>
              <w:spacing w:after="0"/>
              <w:rPr>
                <w:sz w:val="24"/>
                <w:szCs w:val="24"/>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May 10, 2025</w:t>
            </w:r>
          </w:p>
        </w:tc>
        <w:tc>
          <w:tcPr>
            <w:tcW w:w="0" w:type="dxa"/>
            <w:vAlign w:val="bottom"/>
          </w:tcPr>
          <w:p>
            <w:pPr>
              <w:spacing w:after="0"/>
              <w:rPr>
                <w:sz w:val="1"/>
                <w:szCs w:val="1"/>
                <w:color w:val="auto"/>
              </w:rPr>
            </w:pPr>
          </w:p>
        </w:tc>
      </w:tr>
      <w:tr>
        <w:trPr>
          <w:trHeight w:val="52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4,840,950</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4,464,339</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2,316,376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2,110,816</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200" w:type="dxa"/>
            <w:vAlign w:val="bottom"/>
          </w:tcPr>
          <w:p>
            <w:pPr>
              <w:spacing w:after="0"/>
              <w:rPr>
                <w:sz w:val="21"/>
                <w:szCs w:val="21"/>
                <w:color w:val="auto"/>
              </w:rPr>
            </w:pPr>
          </w:p>
        </w:tc>
        <w:tc>
          <w:tcPr>
            <w:tcW w:w="14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2,524,574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2,353,523</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1,600,818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1,487,349</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200" w:type="dxa"/>
            <w:vAlign w:val="bottom"/>
          </w:tcPr>
          <w:p>
            <w:pPr>
              <w:spacing w:after="0"/>
              <w:rPr>
                <w:sz w:val="21"/>
                <w:szCs w:val="21"/>
                <w:color w:val="auto"/>
              </w:rPr>
            </w:pPr>
          </w:p>
        </w:tc>
        <w:tc>
          <w:tcPr>
            <w:tcW w:w="14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923,756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866,174</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110,490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111,285</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200" w:type="dxa"/>
            <w:vAlign w:val="bottom"/>
          </w:tcPr>
          <w:p>
            <w:pPr>
              <w:spacing w:after="0"/>
              <w:rPr>
                <w:sz w:val="21"/>
                <w:szCs w:val="21"/>
                <w:color w:val="auto"/>
              </w:rPr>
            </w:pPr>
          </w:p>
        </w:tc>
        <w:tc>
          <w:tcPr>
            <w:tcW w:w="14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813,266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754,889</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171,775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146,449</w:t>
            </w: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641,491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608,440</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per share:</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36.33</w:t>
            </w:r>
          </w:p>
        </w:tc>
        <w:tc>
          <w:tcPr>
            <w:tcW w:w="0" w:type="dxa"/>
            <w:vAlign w:val="bottom"/>
          </w:tcPr>
          <w:p>
            <w:pPr>
              <w:spacing w:after="0"/>
              <w:rPr>
                <w:sz w:val="1"/>
                <w:szCs w:val="1"/>
                <w:color w:val="auto"/>
              </w:rPr>
            </w:pPr>
          </w:p>
        </w:tc>
      </w:tr>
      <w:tr>
        <w:trPr>
          <w:trHeight w:val="270"/>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38.07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35.36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Basic</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16,746</w:t>
            </w:r>
          </w:p>
        </w:tc>
        <w:tc>
          <w:tcPr>
            <w:tcW w:w="0" w:type="dxa"/>
            <w:vAlign w:val="bottom"/>
          </w:tcPr>
          <w:p>
            <w:pPr>
              <w:spacing w:after="0"/>
              <w:rPr>
                <w:sz w:val="1"/>
                <w:szCs w:val="1"/>
                <w:color w:val="auto"/>
              </w:rPr>
            </w:pPr>
          </w:p>
        </w:tc>
      </w:tr>
      <w:tr>
        <w:trPr>
          <w:trHeight w:val="282"/>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Diluted</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16,852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17,207</w:t>
            </w:r>
          </w:p>
        </w:tc>
        <w:tc>
          <w:tcPr>
            <w:tcW w:w="0" w:type="dxa"/>
            <w:vAlign w:val="bottom"/>
          </w:tcPr>
          <w:p>
            <w:pPr>
              <w:spacing w:after="0"/>
              <w:rPr>
                <w:sz w:val="1"/>
                <w:szCs w:val="1"/>
                <w:color w:val="auto"/>
              </w:rPr>
            </w:pPr>
          </w:p>
        </w:tc>
      </w:tr>
    </w:tbl>
    <w:p>
      <w:pPr>
        <w:sectPr>
          <w:pgSz w:w="11900" w:h="16838" w:orient="portrait"/>
          <w:cols w:equalWidth="0" w:num="1">
            <w:col w:w="11200"/>
          </w:cols>
          <w:pgMar w:left="320" w:top="112" w:right="379" w:bottom="97"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Year-To-Date 3rd Quarter, FY2026</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 thousands, except per share data)</w:t>
            </w:r>
          </w:p>
        </w:tc>
        <w:tc>
          <w:tcPr>
            <w:tcW w:w="200" w:type="dxa"/>
            <w:vAlign w:val="bottom"/>
          </w:tcPr>
          <w:p>
            <w:pPr>
              <w:spacing w:after="0"/>
              <w:rPr>
                <w:sz w:val="24"/>
                <w:szCs w:val="24"/>
                <w:color w:val="auto"/>
              </w:rPr>
            </w:pPr>
          </w:p>
        </w:tc>
        <w:tc>
          <w:tcPr>
            <w:tcW w:w="3280" w:type="dxa"/>
            <w:vAlign w:val="bottom"/>
            <w:gridSpan w:val="4"/>
            <w:vMerge w:val="restart"/>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GAAP Results</w:t>
            </w:r>
          </w:p>
        </w:tc>
        <w:tc>
          <w:tcPr>
            <w:tcW w:w="0" w:type="dxa"/>
            <w:vAlign w:val="bottom"/>
          </w:tcPr>
          <w:p>
            <w:pPr>
              <w:spacing w:after="0"/>
              <w:rPr>
                <w:sz w:val="1"/>
                <w:szCs w:val="1"/>
                <w:color w:val="auto"/>
              </w:rPr>
            </w:pPr>
          </w:p>
        </w:tc>
      </w:tr>
      <w:tr>
        <w:trPr>
          <w:trHeight w:val="271"/>
        </w:trPr>
        <w:tc>
          <w:tcPr>
            <w:tcW w:w="5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5940" w:type="dxa"/>
            <w:vAlign w:val="bottom"/>
          </w:tcPr>
          <w:p>
            <w:pPr>
              <w:spacing w:after="0"/>
              <w:rPr>
                <w:sz w:val="21"/>
                <w:szCs w:val="21"/>
                <w:color w:val="auto"/>
              </w:rPr>
            </w:pPr>
          </w:p>
        </w:tc>
        <w:tc>
          <w:tcPr>
            <w:tcW w:w="1800" w:type="dxa"/>
            <w:vAlign w:val="bottom"/>
            <w:gridSpan w:val="3"/>
          </w:tcPr>
          <w:p>
            <w:pPr>
              <w:jc w:val="center"/>
              <w:ind w:right="120"/>
              <w:spacing w:after="0" w:line="246" w:lineRule="exact"/>
              <w:rPr>
                <w:sz w:val="20"/>
                <w:szCs w:val="20"/>
                <w:color w:val="auto"/>
              </w:rPr>
            </w:pPr>
            <w:r>
              <w:rPr>
                <w:rFonts w:ascii="Times New Roman" w:cs="Times New Roman" w:eastAsia="Times New Roman" w:hAnsi="Times New Roman"/>
                <w:sz w:val="22"/>
                <w:szCs w:val="22"/>
                <w:b w:val="1"/>
                <w:bCs w:val="1"/>
                <w:color w:val="auto"/>
                <w:w w:val="97"/>
              </w:rPr>
              <w:t>36 Weeks Ended</w:t>
            </w:r>
          </w:p>
        </w:tc>
        <w:tc>
          <w:tcPr>
            <w:tcW w:w="168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22"/>
                <w:szCs w:val="22"/>
                <w:b w:val="1"/>
                <w:bCs w:val="1"/>
                <w:color w:val="auto"/>
              </w:rPr>
              <w:t>36 Weeks Ended</w:t>
            </w:r>
          </w:p>
        </w:tc>
        <w:tc>
          <w:tcPr>
            <w:tcW w:w="0" w:type="dxa"/>
            <w:vAlign w:val="bottom"/>
          </w:tcPr>
          <w:p>
            <w:pPr>
              <w:spacing w:after="0"/>
              <w:rPr>
                <w:sz w:val="1"/>
                <w:szCs w:val="1"/>
                <w:color w:val="auto"/>
              </w:rPr>
            </w:pPr>
          </w:p>
        </w:tc>
      </w:tr>
      <w:tr>
        <w:trPr>
          <w:trHeight w:val="287"/>
        </w:trPr>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May 9, 2026</w:t>
            </w:r>
          </w:p>
        </w:tc>
        <w:tc>
          <w:tcPr>
            <w:tcW w:w="180" w:type="dxa"/>
            <w:vAlign w:val="bottom"/>
          </w:tcPr>
          <w:p>
            <w:pPr>
              <w:spacing w:after="0"/>
              <w:rPr>
                <w:sz w:val="24"/>
                <w:szCs w:val="24"/>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May 10, 2025</w:t>
            </w:r>
          </w:p>
        </w:tc>
        <w:tc>
          <w:tcPr>
            <w:tcW w:w="0" w:type="dxa"/>
            <w:vAlign w:val="bottom"/>
          </w:tcPr>
          <w:p>
            <w:pPr>
              <w:spacing w:after="0"/>
              <w:rPr>
                <w:sz w:val="1"/>
                <w:szCs w:val="1"/>
                <w:color w:val="auto"/>
              </w:rPr>
            </w:pPr>
          </w:p>
        </w:tc>
      </w:tr>
      <w:tr>
        <w:trPr>
          <w:trHeight w:val="52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13,743,677</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12,695,991</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6,616,431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5,946,010</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200" w:type="dxa"/>
            <w:vAlign w:val="bottom"/>
          </w:tcPr>
          <w:p>
            <w:pPr>
              <w:spacing w:after="0"/>
              <w:rPr>
                <w:sz w:val="21"/>
                <w:szCs w:val="21"/>
                <w:color w:val="auto"/>
              </w:rPr>
            </w:pPr>
          </w:p>
        </w:tc>
        <w:tc>
          <w:tcPr>
            <w:tcW w:w="14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7,127,246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6,749,981</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4,720,865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4,335,891</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200" w:type="dxa"/>
            <w:vAlign w:val="bottom"/>
          </w:tcPr>
          <w:p>
            <w:pPr>
              <w:spacing w:after="0"/>
              <w:rPr>
                <w:sz w:val="21"/>
                <w:szCs w:val="21"/>
                <w:color w:val="auto"/>
              </w:rPr>
            </w:pPr>
          </w:p>
        </w:tc>
        <w:tc>
          <w:tcPr>
            <w:tcW w:w="14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2,406,381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2,414,090</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323,929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327,736</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200" w:type="dxa"/>
            <w:vAlign w:val="bottom"/>
          </w:tcPr>
          <w:p>
            <w:pPr>
              <w:spacing w:after="0"/>
              <w:rPr>
                <w:sz w:val="21"/>
                <w:szCs w:val="21"/>
                <w:color w:val="auto"/>
              </w:rPr>
            </w:pPr>
          </w:p>
        </w:tc>
        <w:tc>
          <w:tcPr>
            <w:tcW w:w="14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2,082,452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2,086,354</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441,278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425,057</w:t>
            </w: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1,641,174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1,661,297</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per share:</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99.08</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98.80</w:t>
            </w:r>
          </w:p>
        </w:tc>
        <w:tc>
          <w:tcPr>
            <w:tcW w:w="0" w:type="dxa"/>
            <w:vAlign w:val="bottom"/>
          </w:tcPr>
          <w:p>
            <w:pPr>
              <w:spacing w:after="0"/>
              <w:rPr>
                <w:sz w:val="1"/>
                <w:szCs w:val="1"/>
                <w:color w:val="auto"/>
              </w:rPr>
            </w:pPr>
          </w:p>
        </w:tc>
      </w:tr>
      <w:tr>
        <w:trPr>
          <w:trHeight w:val="270"/>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96.69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96.17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Basic</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16,815</w:t>
            </w:r>
          </w:p>
        </w:tc>
        <w:tc>
          <w:tcPr>
            <w:tcW w:w="0" w:type="dxa"/>
            <w:vAlign w:val="bottom"/>
          </w:tcPr>
          <w:p>
            <w:pPr>
              <w:spacing w:after="0"/>
              <w:rPr>
                <w:sz w:val="1"/>
                <w:szCs w:val="1"/>
                <w:color w:val="auto"/>
              </w:rPr>
            </w:pPr>
          </w:p>
        </w:tc>
      </w:tr>
      <w:tr>
        <w:trPr>
          <w:trHeight w:val="282"/>
        </w:trPr>
        <w:tc>
          <w:tcPr>
            <w:tcW w:w="5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Diluted</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Selected Balance Sheet Information</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 thousands)</w:t>
            </w:r>
          </w:p>
        </w:tc>
        <w:tc>
          <w:tcPr>
            <w:tcW w:w="200" w:type="dxa"/>
            <w:vAlign w:val="bottom"/>
          </w:tcPr>
          <w:p>
            <w:pPr>
              <w:spacing w:after="0"/>
              <w:rPr>
                <w:sz w:val="24"/>
                <w:szCs w:val="24"/>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180" w:type="dxa"/>
            <w:vAlign w:val="bottom"/>
          </w:tcPr>
          <w:p>
            <w:pPr>
              <w:spacing w:after="0"/>
              <w:rPr>
                <w:sz w:val="24"/>
                <w:szCs w:val="24"/>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May 10, 2025</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August 30, 2025</w:t>
            </w:r>
          </w:p>
        </w:tc>
        <w:tc>
          <w:tcPr>
            <w:tcW w:w="0" w:type="dxa"/>
            <w:vAlign w:val="bottom"/>
          </w:tcPr>
          <w:p>
            <w:pPr>
              <w:spacing w:after="0"/>
              <w:rPr>
                <w:sz w:val="1"/>
                <w:szCs w:val="1"/>
                <w:color w:val="auto"/>
              </w:rPr>
            </w:pPr>
          </w:p>
        </w:tc>
      </w:tr>
      <w:tr>
        <w:trPr>
          <w:trHeight w:val="271"/>
        </w:trPr>
        <w:tc>
          <w:tcPr>
            <w:tcW w:w="5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vMerge w:val="continue"/>
          </w:tcPr>
          <w:p>
            <w:pPr>
              <w:spacing w:after="0"/>
              <w:rPr>
                <w:sz w:val="23"/>
                <w:szCs w:val="23"/>
                <w:color w:val="auto"/>
              </w:rPr>
            </w:pPr>
          </w:p>
        </w:tc>
        <w:tc>
          <w:tcPr>
            <w:tcW w:w="16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2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253,729</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268,625</w:t>
            </w:r>
          </w:p>
        </w:tc>
        <w:tc>
          <w:tcPr>
            <w:tcW w:w="120" w:type="dxa"/>
            <w:vAlign w:val="bottom"/>
          </w:tcPr>
          <w:p>
            <w:pPr>
              <w:spacing w:after="0"/>
              <w:rPr>
                <w:sz w:val="24"/>
                <w:szCs w:val="24"/>
                <w:color w:val="auto"/>
              </w:rPr>
            </w:pPr>
          </w:p>
        </w:tc>
        <w:tc>
          <w:tcPr>
            <w:tcW w:w="3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271,803</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Merchandise inventories</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7,559,056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6,822,881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7,025,688</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8,934,569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7,985,711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8,341,379</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7,796,988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6,727,218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7,062,509</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3,413,970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3,145,590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3,194,666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20,916,463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18,621,983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19,355,324</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8,401,277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7,887,417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8,025,590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10,035,313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9,465,535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9,519,397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 less current portion</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3,278,354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3,020,664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3,093,936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Debt</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9,016,477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8,853,110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8,799,775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Stockholders' deficit</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(2,784,552)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(3,974,405)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(3,414,313)</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Working capital</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(1,100,744)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(1,479,824)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(1,178,018)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AutoZone's 3rd Quarter Highlights - Fiscal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Adjusted Debt / EBITDAR</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 thousands, except adjusted debt to EBITDAR</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ratio)</w:t>
            </w:r>
          </w:p>
        </w:tc>
        <w:tc>
          <w:tcPr>
            <w:tcW w:w="280" w:type="dxa"/>
            <w:vAlign w:val="bottom"/>
          </w:tcPr>
          <w:p>
            <w:pPr>
              <w:spacing w:after="0"/>
              <w:rPr>
                <w:sz w:val="24"/>
                <w:szCs w:val="24"/>
                <w:color w:val="auto"/>
              </w:rPr>
            </w:pPr>
          </w:p>
        </w:tc>
        <w:tc>
          <w:tcPr>
            <w:tcW w:w="3400" w:type="dxa"/>
            <w:vAlign w:val="bottom"/>
            <w:gridSpan w:val="4"/>
            <w:vMerge w:val="restart"/>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Trailing 4 Quarters</w:t>
            </w:r>
          </w:p>
        </w:tc>
        <w:tc>
          <w:tcPr>
            <w:tcW w:w="0" w:type="dxa"/>
            <w:vAlign w:val="bottom"/>
          </w:tcPr>
          <w:p>
            <w:pPr>
              <w:spacing w:after="0"/>
              <w:rPr>
                <w:sz w:val="1"/>
                <w:szCs w:val="1"/>
                <w:color w:val="auto"/>
              </w:rPr>
            </w:pPr>
          </w:p>
        </w:tc>
      </w:tr>
      <w:tr>
        <w:trPr>
          <w:trHeight w:val="254"/>
        </w:trPr>
        <w:tc>
          <w:tcPr>
            <w:tcW w:w="25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0" w:type="dxa"/>
            <w:vAlign w:val="bottom"/>
          </w:tcPr>
          <w:p>
            <w:pPr>
              <w:spacing w:after="0"/>
              <w:rPr>
                <w:sz w:val="1"/>
                <w:szCs w:val="1"/>
                <w:color w:val="auto"/>
              </w:rPr>
            </w:pPr>
          </w:p>
        </w:tc>
      </w:tr>
      <w:tr>
        <w:trPr>
          <w:trHeight w:val="251"/>
        </w:trPr>
        <w:tc>
          <w:tcPr>
            <w:tcW w:w="4440" w:type="dxa"/>
            <w:vAlign w:val="bottom"/>
            <w:gridSpan w:val="2"/>
          </w:tcPr>
          <w:p>
            <w:pPr>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2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2,478,124</w:t>
            </w:r>
          </w:p>
        </w:tc>
        <w:tc>
          <w:tcPr>
            <w:tcW w:w="180" w:type="dxa"/>
            <w:vAlign w:val="bottom"/>
          </w:tcPr>
          <w:p>
            <w:pPr>
              <w:spacing w:after="0"/>
              <w:rPr>
                <w:sz w:val="21"/>
                <w:szCs w:val="21"/>
                <w:color w:val="auto"/>
              </w:rPr>
            </w:pPr>
          </w:p>
        </w:tc>
        <w:tc>
          <w:tcPr>
            <w:tcW w:w="2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2,563,505</w:t>
            </w: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 Interest expense</w:t>
            </w:r>
          </w:p>
        </w:tc>
        <w:tc>
          <w:tcPr>
            <w:tcW w:w="28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472,017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480,888</w:t>
            </w:r>
          </w:p>
        </w:tc>
        <w:tc>
          <w:tcPr>
            <w:tcW w:w="0" w:type="dxa"/>
            <w:vAlign w:val="bottom"/>
          </w:tcPr>
          <w:p>
            <w:pPr>
              <w:spacing w:after="0"/>
              <w:rPr>
                <w:sz w:val="1"/>
                <w:szCs w:val="1"/>
                <w:color w:val="auto"/>
              </w:rPr>
            </w:pPr>
          </w:p>
        </w:tc>
      </w:tr>
      <w:tr>
        <w:trPr>
          <w:trHeight w:val="282"/>
        </w:trPr>
        <w:tc>
          <w:tcPr>
            <w:tcW w:w="44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Income tax expense</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652,306</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666,378</w:t>
            </w:r>
          </w:p>
        </w:tc>
        <w:tc>
          <w:tcPr>
            <w:tcW w:w="0" w:type="dxa"/>
            <w:vAlign w:val="bottom"/>
          </w:tcPr>
          <w:p>
            <w:pPr>
              <w:spacing w:after="0"/>
              <w:rPr>
                <w:sz w:val="1"/>
                <w:szCs w:val="1"/>
                <w:color w:val="auto"/>
              </w:rPr>
            </w:pPr>
          </w:p>
        </w:tc>
      </w:tr>
      <w:tr>
        <w:trPr>
          <w:trHeight w:val="277"/>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EBIT</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3,602,447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3,710,771</w:t>
            </w:r>
          </w:p>
        </w:tc>
        <w:tc>
          <w:tcPr>
            <w:tcW w:w="0" w:type="dxa"/>
            <w:vAlign w:val="bottom"/>
          </w:tcPr>
          <w:p>
            <w:pPr>
              <w:spacing w:after="0"/>
              <w:rPr>
                <w:sz w:val="1"/>
                <w:szCs w:val="1"/>
                <w:color w:val="auto"/>
              </w:rPr>
            </w:pPr>
          </w:p>
        </w:tc>
      </w:tr>
    </w:tbl>
    <w:p>
      <w:pPr>
        <w:sectPr>
          <w:pgSz w:w="11900" w:h="16838" w:orient="portrait"/>
          <w:cols w:equalWidth="0" w:num="1">
            <w:col w:w="11220"/>
          </w:cols>
          <w:pgMar w:left="340" w:top="392" w:right="339" w:bottom="0" w:gutter="0" w:footer="0" w:header="0"/>
        </w:sectPr>
      </w:pPr>
    </w:p>
    <w:bookmarkStart w:id="6" w:name="page7"/>
    <w:bookmarkEnd w:id="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 Depreciation and amortization</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661,538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591,126</w:t>
            </w:r>
          </w:p>
        </w:tc>
        <w:tc>
          <w:tcPr>
            <w:tcW w:w="0" w:type="dxa"/>
            <w:vAlign w:val="bottom"/>
          </w:tcPr>
          <w:p>
            <w:pPr>
              <w:spacing w:after="0"/>
              <w:rPr>
                <w:sz w:val="1"/>
                <w:szCs w:val="1"/>
                <w:color w:val="auto"/>
              </w:rPr>
            </w:pPr>
          </w:p>
        </w:tc>
      </w:tr>
      <w:tr>
        <w:trPr>
          <w:trHeight w:val="315"/>
        </w:trPr>
        <w:tc>
          <w:tcPr>
            <w:tcW w:w="4440" w:type="dxa"/>
            <w:vAlign w:val="bottom"/>
            <w:gridSpan w:val="2"/>
          </w:tcPr>
          <w:p>
            <w:pPr>
              <w:ind w:left="260"/>
              <w:spacing w:after="0" w:line="314" w:lineRule="exact"/>
              <w:rPr>
                <w:sz w:val="20"/>
                <w:szCs w:val="20"/>
                <w:color w:val="auto"/>
              </w:rPr>
            </w:pPr>
            <w:r>
              <w:rPr>
                <w:rFonts w:ascii="Times New Roman" w:cs="Times New Roman" w:eastAsia="Times New Roman" w:hAnsi="Times New Roman"/>
                <w:sz w:val="22"/>
                <w:szCs w:val="22"/>
                <w:color w:val="auto"/>
              </w:rPr>
              <w:t>Rent expense</w:t>
            </w:r>
            <w:r>
              <w:rPr>
                <w:rFonts w:ascii="Times New Roman" w:cs="Times New Roman" w:eastAsia="Times New Roman" w:hAnsi="Times New Roman"/>
                <w:sz w:val="35"/>
                <w:szCs w:val="35"/>
                <w:color w:val="auto"/>
                <w:vertAlign w:val="superscript"/>
              </w:rPr>
              <w:t>(1)</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486,779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465,339</w:t>
            </w:r>
          </w:p>
        </w:tc>
        <w:tc>
          <w:tcPr>
            <w:tcW w:w="0" w:type="dxa"/>
            <w:vAlign w:val="bottom"/>
          </w:tcPr>
          <w:p>
            <w:pPr>
              <w:spacing w:after="0"/>
              <w:rPr>
                <w:sz w:val="1"/>
                <w:szCs w:val="1"/>
                <w:color w:val="auto"/>
              </w:rPr>
            </w:pPr>
          </w:p>
        </w:tc>
      </w:tr>
      <w:tr>
        <w:trPr>
          <w:trHeight w:val="283"/>
        </w:trPr>
        <w:tc>
          <w:tcPr>
            <w:tcW w:w="44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Share-based expense</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136,774</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120,516</w:t>
            </w:r>
          </w:p>
        </w:tc>
        <w:tc>
          <w:tcPr>
            <w:tcW w:w="0" w:type="dxa"/>
            <w:vAlign w:val="bottom"/>
          </w:tcPr>
          <w:p>
            <w:pPr>
              <w:spacing w:after="0"/>
              <w:rPr>
                <w:sz w:val="1"/>
                <w:szCs w:val="1"/>
                <w:color w:val="auto"/>
              </w:rPr>
            </w:pPr>
          </w:p>
        </w:tc>
      </w:tr>
      <w:tr>
        <w:trPr>
          <w:trHeight w:val="264"/>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EBITDAR</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4,887,538</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4,887,752</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Debt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9,016,477</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8,853,110</w:t>
            </w:r>
          </w:p>
        </w:tc>
        <w:tc>
          <w:tcPr>
            <w:tcW w:w="0" w:type="dxa"/>
            <w:vAlign w:val="bottom"/>
          </w:tcPr>
          <w:p>
            <w:pPr>
              <w:spacing w:after="0"/>
              <w:rPr>
                <w:sz w:val="1"/>
                <w:szCs w:val="1"/>
                <w:color w:val="auto"/>
              </w:rPr>
            </w:pPr>
          </w:p>
        </w:tc>
      </w:tr>
      <w:tr>
        <w:trPr>
          <w:trHeight w:val="279"/>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Financing lease liabilities</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455,363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407,487</w:t>
            </w:r>
          </w:p>
        </w:tc>
        <w:tc>
          <w:tcPr>
            <w:tcW w:w="0" w:type="dxa"/>
            <w:vAlign w:val="bottom"/>
          </w:tcPr>
          <w:p>
            <w:pPr>
              <w:spacing w:after="0"/>
              <w:rPr>
                <w:sz w:val="1"/>
                <w:szCs w:val="1"/>
                <w:color w:val="auto"/>
              </w:rPr>
            </w:pPr>
          </w:p>
        </w:tc>
      </w:tr>
      <w:tr>
        <w:trPr>
          <w:trHeight w:val="329"/>
        </w:trPr>
        <w:tc>
          <w:tcPr>
            <w:tcW w:w="4440" w:type="dxa"/>
            <w:vAlign w:val="bottom"/>
            <w:gridSpan w:val="2"/>
          </w:tcPr>
          <w:p>
            <w:pPr>
              <w:spacing w:after="0" w:line="329" w:lineRule="exact"/>
              <w:rPr>
                <w:sz w:val="20"/>
                <w:szCs w:val="20"/>
                <w:color w:val="auto"/>
              </w:rPr>
            </w:pPr>
            <w:r>
              <w:rPr>
                <w:rFonts w:ascii="Times New Roman" w:cs="Times New Roman" w:eastAsia="Times New Roman" w:hAnsi="Times New Roman"/>
                <w:sz w:val="22"/>
                <w:szCs w:val="22"/>
                <w:color w:val="auto"/>
              </w:rPr>
              <w:t>Add: Rent x 6</w:t>
            </w:r>
            <w:r>
              <w:rPr>
                <w:rFonts w:ascii="Times New Roman" w:cs="Times New Roman" w:eastAsia="Times New Roman" w:hAnsi="Times New Roman"/>
                <w:sz w:val="35"/>
                <w:szCs w:val="3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2,920,674</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2,792,034</w:t>
            </w:r>
          </w:p>
        </w:tc>
        <w:tc>
          <w:tcPr>
            <w:tcW w:w="0" w:type="dxa"/>
            <w:vAlign w:val="bottom"/>
          </w:tcPr>
          <w:p>
            <w:pPr>
              <w:spacing w:after="0"/>
              <w:rPr>
                <w:sz w:val="1"/>
                <w:szCs w:val="1"/>
                <w:color w:val="auto"/>
              </w:rPr>
            </w:pPr>
          </w:p>
        </w:tc>
      </w:tr>
      <w:tr>
        <w:trPr>
          <w:trHeight w:val="263"/>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Adjusted debt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12,392,514</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12,052,631</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debt to EBITDAR</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44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488"/>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Adjusted Return on Invested Capital (ROIC)</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 thousands, except ROIC)</w:t>
            </w:r>
          </w:p>
        </w:tc>
        <w:tc>
          <w:tcPr>
            <w:tcW w:w="280" w:type="dxa"/>
            <w:vAlign w:val="bottom"/>
          </w:tcPr>
          <w:p>
            <w:pPr>
              <w:spacing w:after="0"/>
              <w:rPr>
                <w:sz w:val="24"/>
                <w:szCs w:val="24"/>
                <w:color w:val="auto"/>
              </w:rPr>
            </w:pPr>
          </w:p>
        </w:tc>
        <w:tc>
          <w:tcPr>
            <w:tcW w:w="3400" w:type="dxa"/>
            <w:vAlign w:val="bottom"/>
            <w:gridSpan w:val="4"/>
            <w:vMerge w:val="restart"/>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Trailing 4 Quarters</w:t>
            </w:r>
          </w:p>
        </w:tc>
        <w:tc>
          <w:tcPr>
            <w:tcW w:w="0" w:type="dxa"/>
            <w:vAlign w:val="bottom"/>
          </w:tcPr>
          <w:p>
            <w:pPr>
              <w:spacing w:after="0"/>
              <w:rPr>
                <w:sz w:val="1"/>
                <w:szCs w:val="1"/>
                <w:color w:val="auto"/>
              </w:rPr>
            </w:pPr>
          </w:p>
        </w:tc>
      </w:tr>
      <w:tr>
        <w:trPr>
          <w:trHeight w:val="254"/>
        </w:trPr>
        <w:tc>
          <w:tcPr>
            <w:tcW w:w="4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0" w:type="dxa"/>
            <w:vAlign w:val="bottom"/>
          </w:tcPr>
          <w:p>
            <w:pPr>
              <w:spacing w:after="0"/>
              <w:rPr>
                <w:sz w:val="1"/>
                <w:szCs w:val="1"/>
                <w:color w:val="auto"/>
              </w:rPr>
            </w:pPr>
          </w:p>
        </w:tc>
      </w:tr>
      <w:tr>
        <w:trPr>
          <w:trHeight w:val="251"/>
        </w:trPr>
        <w:tc>
          <w:tcPr>
            <w:tcW w:w="4440" w:type="dxa"/>
            <w:vAlign w:val="bottom"/>
            <w:gridSpan w:val="2"/>
          </w:tcPr>
          <w:p>
            <w:pPr>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2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2,478,124</w:t>
            </w:r>
          </w:p>
        </w:tc>
        <w:tc>
          <w:tcPr>
            <w:tcW w:w="180" w:type="dxa"/>
            <w:vAlign w:val="bottom"/>
          </w:tcPr>
          <w:p>
            <w:pPr>
              <w:spacing w:after="0"/>
              <w:rPr>
                <w:sz w:val="21"/>
                <w:szCs w:val="21"/>
                <w:color w:val="auto"/>
              </w:rPr>
            </w:pPr>
          </w:p>
        </w:tc>
        <w:tc>
          <w:tcPr>
            <w:tcW w:w="2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2,563,505</w:t>
            </w: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Adjustments:</w:t>
            </w: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4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Interest expense</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472,017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480,888</w:t>
            </w:r>
          </w:p>
        </w:tc>
        <w:tc>
          <w:tcPr>
            <w:tcW w:w="0" w:type="dxa"/>
            <w:vAlign w:val="bottom"/>
          </w:tcPr>
          <w:p>
            <w:pPr>
              <w:spacing w:after="0"/>
              <w:rPr>
                <w:sz w:val="1"/>
                <w:szCs w:val="1"/>
                <w:color w:val="auto"/>
              </w:rPr>
            </w:pPr>
          </w:p>
        </w:tc>
      </w:tr>
      <w:tr>
        <w:trPr>
          <w:trHeight w:val="324"/>
        </w:trPr>
        <w:tc>
          <w:tcPr>
            <w:tcW w:w="4440" w:type="dxa"/>
            <w:vAlign w:val="bottom"/>
            <w:gridSpan w:val="2"/>
          </w:tcPr>
          <w:p>
            <w:pPr>
              <w:ind w:left="260"/>
              <w:spacing w:after="0" w:line="324" w:lineRule="exact"/>
              <w:rPr>
                <w:sz w:val="20"/>
                <w:szCs w:val="20"/>
                <w:color w:val="auto"/>
              </w:rPr>
            </w:pPr>
            <w:r>
              <w:rPr>
                <w:rFonts w:ascii="Times New Roman" w:cs="Times New Roman" w:eastAsia="Times New Roman" w:hAnsi="Times New Roman"/>
                <w:sz w:val="22"/>
                <w:szCs w:val="22"/>
                <w:color w:val="auto"/>
              </w:rPr>
              <w:t>Rent expense</w:t>
            </w:r>
            <w:r>
              <w:rPr>
                <w:rFonts w:ascii="Times New Roman" w:cs="Times New Roman" w:eastAsia="Times New Roman" w:hAnsi="Times New Roman"/>
                <w:sz w:val="35"/>
                <w:szCs w:val="35"/>
                <w:color w:val="auto"/>
                <w:vertAlign w:val="superscript"/>
              </w:rPr>
              <w:t>(1)</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486,779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465,339</w:t>
            </w:r>
          </w:p>
        </w:tc>
        <w:tc>
          <w:tcPr>
            <w:tcW w:w="0" w:type="dxa"/>
            <w:vAlign w:val="bottom"/>
          </w:tcPr>
          <w:p>
            <w:pPr>
              <w:spacing w:after="0"/>
              <w:rPr>
                <w:sz w:val="1"/>
                <w:szCs w:val="1"/>
                <w:color w:val="auto"/>
              </w:rPr>
            </w:pPr>
          </w:p>
        </w:tc>
      </w:tr>
      <w:tr>
        <w:trPr>
          <w:trHeight w:val="329"/>
        </w:trPr>
        <w:tc>
          <w:tcPr>
            <w:tcW w:w="4440" w:type="dxa"/>
            <w:vAlign w:val="bottom"/>
            <w:gridSpan w:val="2"/>
          </w:tcPr>
          <w:p>
            <w:pPr>
              <w:ind w:left="260"/>
              <w:spacing w:after="0" w:line="329" w:lineRule="exact"/>
              <w:rPr>
                <w:sz w:val="20"/>
                <w:szCs w:val="20"/>
                <w:color w:val="auto"/>
              </w:rPr>
            </w:pPr>
            <w:r>
              <w:rPr>
                <w:rFonts w:ascii="Times New Roman" w:cs="Times New Roman" w:eastAsia="Times New Roman" w:hAnsi="Times New Roman"/>
                <w:sz w:val="22"/>
                <w:szCs w:val="22"/>
                <w:color w:val="auto"/>
              </w:rPr>
              <w:t>Tax effect</w:t>
            </w:r>
            <w:r>
              <w:rPr>
                <w:rFonts w:ascii="Times New Roman" w:cs="Times New Roman" w:eastAsia="Times New Roman" w:hAnsi="Times New Roman"/>
                <w:sz w:val="35"/>
                <w:szCs w:val="35"/>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(199,430)</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(194,922)</w:t>
            </w:r>
          </w:p>
        </w:tc>
        <w:tc>
          <w:tcPr>
            <w:tcW w:w="0" w:type="dxa"/>
            <w:vAlign w:val="bottom"/>
          </w:tcPr>
          <w:p>
            <w:pPr>
              <w:spacing w:after="0"/>
              <w:rPr>
                <w:sz w:val="1"/>
                <w:szCs w:val="1"/>
                <w:color w:val="auto"/>
              </w:rPr>
            </w:pPr>
          </w:p>
        </w:tc>
      </w:tr>
      <w:tr>
        <w:trPr>
          <w:trHeight w:val="263"/>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Adjusted after-tax return</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3,237,490</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3,314,810</w:t>
            </w:r>
          </w:p>
        </w:tc>
        <w:tc>
          <w:tcPr>
            <w:tcW w:w="0" w:type="dxa"/>
            <w:vAlign w:val="bottom"/>
          </w:tcPr>
          <w:p>
            <w:pPr>
              <w:spacing w:after="0"/>
              <w:rPr>
                <w:sz w:val="1"/>
                <w:szCs w:val="1"/>
                <w:color w:val="auto"/>
              </w:rPr>
            </w:pPr>
          </w:p>
        </w:tc>
      </w:tr>
      <w:tr>
        <w:trPr>
          <w:trHeight w:val="21"/>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Average debt</w:t>
            </w:r>
            <w:r>
              <w:rPr>
                <w:rFonts w:ascii="Times New Roman" w:cs="Times New Roman" w:eastAsia="Times New Roman" w:hAnsi="Times New Roman"/>
                <w:sz w:val="35"/>
                <w:szCs w:val="35"/>
                <w:color w:val="auto"/>
                <w:vertAlign w:val="superscript"/>
              </w:rPr>
              <w:t>(3)</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3"/>
        </w:trPr>
        <w:tc>
          <w:tcPr>
            <w:tcW w:w="4440" w:type="dxa"/>
            <w:vAlign w:val="bottom"/>
            <w:gridSpan w:val="2"/>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8,839,905</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8,987,683</w:t>
            </w: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line="324" w:lineRule="exact"/>
              <w:rPr>
                <w:sz w:val="20"/>
                <w:szCs w:val="20"/>
                <w:color w:val="auto"/>
              </w:rPr>
            </w:pPr>
            <w:r>
              <w:rPr>
                <w:rFonts w:ascii="Times New Roman" w:cs="Times New Roman" w:eastAsia="Times New Roman" w:hAnsi="Times New Roman"/>
                <w:sz w:val="22"/>
                <w:szCs w:val="22"/>
                <w:color w:val="auto"/>
              </w:rPr>
              <w:t>Average stockholders' deficit</w:t>
            </w:r>
            <w:r>
              <w:rPr>
                <w:rFonts w:ascii="Times New Roman" w:cs="Times New Roman" w:eastAsia="Times New Roman" w:hAnsi="Times New Roman"/>
                <w:sz w:val="35"/>
                <w:szCs w:val="35"/>
                <w:color w:val="auto"/>
                <w:vertAlign w:val="superscript"/>
              </w:rPr>
              <w:t>(3)</w:t>
            </w:r>
          </w:p>
        </w:tc>
        <w:tc>
          <w:tcPr>
            <w:tcW w:w="28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(3,262,129)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(4,538,590)</w:t>
            </w: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line="324" w:lineRule="exact"/>
              <w:rPr>
                <w:sz w:val="20"/>
                <w:szCs w:val="20"/>
                <w:color w:val="auto"/>
              </w:rPr>
            </w:pPr>
            <w:r>
              <w:rPr>
                <w:rFonts w:ascii="Times New Roman" w:cs="Times New Roman" w:eastAsia="Times New Roman" w:hAnsi="Times New Roman"/>
                <w:sz w:val="22"/>
                <w:szCs w:val="22"/>
                <w:color w:val="auto"/>
              </w:rPr>
              <w:t>Add: Rent x 6</w:t>
            </w:r>
            <w:r>
              <w:rPr>
                <w:rFonts w:ascii="Times New Roman" w:cs="Times New Roman" w:eastAsia="Times New Roman" w:hAnsi="Times New Roman"/>
                <w:sz w:val="35"/>
                <w:szCs w:val="35"/>
                <w:color w:val="auto"/>
                <w:vertAlign w:val="superscript"/>
              </w:rPr>
              <w:t>(1)</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2,920,674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2,792,034</w:t>
            </w:r>
          </w:p>
        </w:tc>
        <w:tc>
          <w:tcPr>
            <w:tcW w:w="0" w:type="dxa"/>
            <w:vAlign w:val="bottom"/>
          </w:tcPr>
          <w:p>
            <w:pPr>
              <w:spacing w:after="0"/>
              <w:rPr>
                <w:sz w:val="1"/>
                <w:szCs w:val="1"/>
                <w:color w:val="auto"/>
              </w:rPr>
            </w:pPr>
          </w:p>
        </w:tc>
      </w:tr>
      <w:tr>
        <w:trPr>
          <w:trHeight w:val="329"/>
        </w:trPr>
        <w:tc>
          <w:tcPr>
            <w:tcW w:w="4440" w:type="dxa"/>
            <w:vAlign w:val="bottom"/>
            <w:gridSpan w:val="2"/>
          </w:tcPr>
          <w:p>
            <w:pPr>
              <w:spacing w:after="0" w:line="329" w:lineRule="exact"/>
              <w:rPr>
                <w:sz w:val="20"/>
                <w:szCs w:val="20"/>
                <w:color w:val="auto"/>
              </w:rPr>
            </w:pPr>
            <w:r>
              <w:rPr>
                <w:rFonts w:ascii="Times New Roman" w:cs="Times New Roman" w:eastAsia="Times New Roman" w:hAnsi="Times New Roman"/>
                <w:sz w:val="22"/>
                <w:szCs w:val="22"/>
                <w:color w:val="auto"/>
              </w:rPr>
              <w:t>Average financing lease liabilities</w:t>
            </w:r>
            <w:r>
              <w:rPr>
                <w:rFonts w:ascii="Times New Roman" w:cs="Times New Roman" w:eastAsia="Times New Roman" w:hAnsi="Times New Roman"/>
                <w:sz w:val="35"/>
                <w:szCs w:val="35"/>
                <w:color w:val="auto"/>
                <w:vertAlign w:val="superscript"/>
              </w:rPr>
              <w:t>(3)</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413,733</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385,328</w:t>
            </w:r>
          </w:p>
        </w:tc>
        <w:tc>
          <w:tcPr>
            <w:tcW w:w="0" w:type="dxa"/>
            <w:vAlign w:val="bottom"/>
          </w:tcPr>
          <w:p>
            <w:pPr>
              <w:spacing w:after="0"/>
              <w:rPr>
                <w:sz w:val="1"/>
                <w:szCs w:val="1"/>
                <w:color w:val="auto"/>
              </w:rPr>
            </w:pPr>
          </w:p>
        </w:tc>
      </w:tr>
      <w:tr>
        <w:trPr>
          <w:trHeight w:val="264"/>
        </w:trPr>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Invested capital</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8,912,183</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7,626,455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After-Tax ROIC</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44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43.5%</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right="2099"/>
        <w:spacing w:after="0" w:line="215" w:lineRule="auto"/>
        <w:rPr>
          <w:sz w:val="20"/>
          <w:szCs w:val="20"/>
          <w:color w:val="auto"/>
        </w:rPr>
      </w:pPr>
      <w:r>
        <w:rPr>
          <w:rFonts w:ascii="Times New Roman" w:cs="Times New Roman" w:eastAsia="Times New Roman" w:hAnsi="Times New Roman"/>
          <w:sz w:val="35"/>
          <w:szCs w:val="35"/>
          <w:i w:val="1"/>
          <w:iCs w:val="1"/>
          <w:color w:val="auto"/>
          <w:vertAlign w:val="superscript"/>
        </w:rPr>
        <w:t>(1)</w:t>
      </w:r>
      <w:r>
        <w:rPr>
          <w:rFonts w:ascii="Times New Roman" w:cs="Times New Roman" w:eastAsia="Times New Roman" w:hAnsi="Times New Roman"/>
          <w:sz w:val="22"/>
          <w:szCs w:val="22"/>
          <w:i w:val="1"/>
          <w:iCs w:val="1"/>
          <w:color w:val="auto"/>
        </w:rPr>
        <w:t>The table below outlines the calculation of rent expense and reconciles rent expense to total lease cost, per ASC 842, the most directly comparable GAAP financial measure, for the trailing four quarters ended May 9, 2026, and May 10, 2025</w:t>
      </w:r>
      <w:r>
        <w:rPr>
          <w:rFonts w:ascii="Times New Roman" w:cs="Times New Roman" w:eastAsia="Times New Roman" w:hAnsi="Times New Roman"/>
          <w:sz w:val="22"/>
          <w:szCs w:val="22"/>
          <w:b w:val="1"/>
          <w:bCs w:val="1"/>
          <w:i w:val="1"/>
          <w:iCs w:val="1"/>
          <w:color w:val="auto"/>
        </w:rPr>
        <w: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0" w:type="dxa"/>
            <w:vAlign w:val="bottom"/>
            <w:gridSpan w:val="4"/>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Trailing 4 Quarters</w:t>
            </w:r>
          </w:p>
        </w:tc>
      </w:tr>
      <w:tr>
        <w:trPr>
          <w:trHeight w:val="28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 thousands)</w:t>
            </w:r>
          </w:p>
        </w:tc>
        <w:tc>
          <w:tcPr>
            <w:tcW w:w="2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40" w:type="dxa"/>
            <w:vAlign w:val="bottom"/>
          </w:tcPr>
          <w:p>
            <w:pPr>
              <w:spacing w:after="0"/>
              <w:rPr>
                <w:sz w:val="24"/>
                <w:szCs w:val="24"/>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r>
      <w:tr>
        <w:trPr>
          <w:trHeight w:val="251"/>
        </w:trPr>
        <w:tc>
          <w:tcPr>
            <w:tcW w:w="43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Total lease cost, per ASC 842</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657,326</w:t>
            </w:r>
          </w:p>
        </w:tc>
        <w:tc>
          <w:tcPr>
            <w:tcW w:w="180" w:type="dxa"/>
            <w:vAlign w:val="bottom"/>
          </w:tcPr>
          <w:p>
            <w:pPr>
              <w:spacing w:after="0"/>
              <w:rPr>
                <w:sz w:val="21"/>
                <w:szCs w:val="21"/>
                <w:color w:val="auto"/>
              </w:rPr>
            </w:pPr>
          </w:p>
        </w:tc>
        <w:tc>
          <w:tcPr>
            <w:tcW w:w="2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625,740</w:t>
            </w:r>
          </w:p>
        </w:tc>
      </w:tr>
      <w:tr>
        <w:trPr>
          <w:trHeight w:val="27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Less: Financing lease interest and amortization</w:t>
            </w:r>
          </w:p>
        </w:tc>
        <w:tc>
          <w:tcPr>
            <w:tcW w:w="2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(124,052)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(117,287)</w:t>
            </w:r>
          </w:p>
        </w:tc>
      </w:tr>
      <w:tr>
        <w:trPr>
          <w:trHeight w:val="243"/>
        </w:trPr>
        <w:tc>
          <w:tcPr>
            <w:tcW w:w="44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Less: Variable operating lease components,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44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related to insurance and common area</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maintenance</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(46,495)</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(43,114)</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Rent expense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486,779</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465,339</w:t>
            </w:r>
          </w:p>
        </w:tc>
      </w:tr>
      <w:tr>
        <w:trPr>
          <w:trHeight w:val="21"/>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20" w:right="2339"/>
        <w:spacing w:after="0" w:line="209" w:lineRule="auto"/>
        <w:rPr>
          <w:sz w:val="20"/>
          <w:szCs w:val="20"/>
          <w:color w:val="auto"/>
        </w:rPr>
      </w:pPr>
      <w:r>
        <w:rPr>
          <w:rFonts w:ascii="Times New Roman" w:cs="Times New Roman" w:eastAsia="Times New Roman" w:hAnsi="Times New Roman"/>
          <w:sz w:val="35"/>
          <w:szCs w:val="35"/>
          <w:i w:val="1"/>
          <w:iCs w:val="1"/>
          <w:color w:val="auto"/>
          <w:vertAlign w:val="superscript"/>
        </w:rPr>
        <w:t>(2)</w:t>
      </w:r>
      <w:r>
        <w:rPr>
          <w:rFonts w:ascii="Times New Roman" w:cs="Times New Roman" w:eastAsia="Times New Roman" w:hAnsi="Times New Roman"/>
          <w:sz w:val="22"/>
          <w:szCs w:val="22"/>
          <w:i w:val="1"/>
          <w:iCs w:val="1"/>
          <w:color w:val="auto"/>
        </w:rPr>
        <w:t>Effective tax rate over the trailing four quarters ended May 9, 2026, and May 10, 2025, was 20.8</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 xml:space="preserve"> and 20.6%, respectively.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5"/>
          <w:szCs w:val="35"/>
          <w:i w:val="1"/>
          <w:iCs w:val="1"/>
          <w:color w:val="auto"/>
          <w:vertAlign w:val="superscript"/>
        </w:rPr>
        <w:t>(3)</w:t>
      </w:r>
      <w:r>
        <w:rPr>
          <w:rFonts w:ascii="Times New Roman" w:cs="Times New Roman" w:eastAsia="Times New Roman" w:hAnsi="Times New Roman"/>
          <w:sz w:val="22"/>
          <w:szCs w:val="22"/>
          <w:i w:val="1"/>
          <w:iCs w:val="1"/>
          <w:color w:val="auto"/>
        </w:rPr>
        <w:t>All averages are computed based on trailing five quarter balances.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4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Selected Financial Information</w:t>
            </w: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(in thousands)</w:t>
            </w:r>
          </w:p>
        </w:tc>
        <w:tc>
          <w:tcPr>
            <w:tcW w:w="280" w:type="dxa"/>
            <w:vAlign w:val="bottom"/>
          </w:tcPr>
          <w:p>
            <w:pPr>
              <w:spacing w:after="0"/>
              <w:rPr>
                <w:sz w:val="24"/>
                <w:szCs w:val="24"/>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40" w:type="dxa"/>
            <w:vAlign w:val="bottom"/>
          </w:tcPr>
          <w:p>
            <w:pPr>
              <w:spacing w:after="0"/>
              <w:rPr>
                <w:sz w:val="24"/>
                <w:szCs w:val="24"/>
                <w:color w:val="auto"/>
              </w:rPr>
            </w:pPr>
          </w:p>
        </w:tc>
        <w:tc>
          <w:tcPr>
            <w:tcW w:w="152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0" w:type="dxa"/>
            <w:vAlign w:val="bottom"/>
          </w:tcPr>
          <w:p>
            <w:pPr>
              <w:spacing w:after="0"/>
              <w:rPr>
                <w:sz w:val="1"/>
                <w:szCs w:val="1"/>
                <w:color w:val="auto"/>
              </w:rPr>
            </w:pPr>
          </w:p>
        </w:tc>
      </w:tr>
      <w:tr>
        <w:trPr>
          <w:trHeight w:val="271"/>
        </w:trPr>
        <w:tc>
          <w:tcPr>
            <w:tcW w:w="4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Cumulative share repurchases ($ since fiscal</w:t>
            </w:r>
          </w:p>
        </w:tc>
        <w:tc>
          <w:tcPr>
            <w:tcW w:w="280" w:type="dxa"/>
            <w:vAlign w:val="bottom"/>
          </w:tcPr>
          <w:p>
            <w:pPr>
              <w:spacing w:after="0"/>
              <w:rPr>
                <w:sz w:val="23"/>
                <w:szCs w:val="23"/>
                <w:color w:val="auto"/>
              </w:rPr>
            </w:pPr>
          </w:p>
        </w:tc>
        <w:tc>
          <w:tcPr>
            <w:tcW w:w="164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1998)</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39,845,837</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38,070,948</w:t>
            </w:r>
          </w:p>
        </w:tc>
        <w:tc>
          <w:tcPr>
            <w:tcW w:w="0" w:type="dxa"/>
            <w:vAlign w:val="bottom"/>
          </w:tcPr>
          <w:p>
            <w:pPr>
              <w:spacing w:after="0"/>
              <w:rPr>
                <w:sz w:val="1"/>
                <w:szCs w:val="1"/>
                <w:color w:val="auto"/>
              </w:rPr>
            </w:pPr>
          </w:p>
        </w:tc>
      </w:tr>
      <w:tr>
        <w:trPr>
          <w:trHeight w:val="282"/>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Remaining share repurchase authorization ($)</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804,163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1,079,052</w:t>
            </w:r>
          </w:p>
        </w:tc>
        <w:tc>
          <w:tcPr>
            <w:tcW w:w="0" w:type="dxa"/>
            <w:vAlign w:val="bottom"/>
          </w:tcPr>
          <w:p>
            <w:pPr>
              <w:spacing w:after="0"/>
              <w:rPr>
                <w:sz w:val="1"/>
                <w:szCs w:val="1"/>
                <w:color w:val="auto"/>
              </w:rPr>
            </w:pPr>
          </w:p>
        </w:tc>
      </w:tr>
      <w:tr>
        <w:trPr>
          <w:trHeight w:val="501"/>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Cumulative share repurchases (shares since fiscal</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1998)</w:t>
            </w:r>
          </w:p>
        </w:tc>
        <w:tc>
          <w:tcPr>
            <w:tcW w:w="28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155,985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155,512</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1"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Shares outstanding, end of quarter</w:t>
            </w:r>
          </w:p>
        </w:tc>
        <w:tc>
          <w:tcPr>
            <w:tcW w:w="22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16,369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16,724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7"/>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5"/>
              </w:rPr>
              <w:t>36 Weeks</w:t>
            </w:r>
          </w:p>
        </w:tc>
        <w:tc>
          <w:tcPr>
            <w:tcW w:w="180" w:type="dxa"/>
            <w:vAlign w:val="bottom"/>
          </w:tcPr>
          <w:p>
            <w:pPr>
              <w:spacing w:after="0"/>
              <w:rPr>
                <w:sz w:val="24"/>
                <w:szCs w:val="24"/>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36 Weeks</w:t>
            </w:r>
          </w:p>
        </w:tc>
      </w:tr>
      <w:tr>
        <w:trPr>
          <w:trHeight w:val="270"/>
        </w:trPr>
        <w:tc>
          <w:tcPr>
            <w:tcW w:w="4440" w:type="dxa"/>
            <w:vAlign w:val="bottom"/>
          </w:tcPr>
          <w:p>
            <w:pPr>
              <w:spacing w:after="0"/>
              <w:rPr>
                <w:sz w:val="23"/>
                <w:szCs w:val="23"/>
                <w:color w:val="auto"/>
              </w:rPr>
            </w:pPr>
          </w:p>
        </w:tc>
        <w:tc>
          <w:tcPr>
            <w:tcW w:w="1920" w:type="dxa"/>
            <w:vAlign w:val="bottom"/>
            <w:gridSpan w:val="3"/>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7"/>
              </w:rPr>
              <w:t>12 Weeks Ended</w:t>
            </w: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12 Weeks Ended</w:t>
            </w:r>
          </w:p>
        </w:tc>
        <w:tc>
          <w:tcPr>
            <w:tcW w:w="160" w:type="dxa"/>
            <w:vAlign w:val="bottom"/>
          </w:tcPr>
          <w:p>
            <w:pPr>
              <w:spacing w:after="0"/>
              <w:rPr>
                <w:sz w:val="23"/>
                <w:szCs w:val="2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80" w:type="dxa"/>
            <w:vAlign w:val="bottom"/>
          </w:tcPr>
          <w:p>
            <w:pPr>
              <w:spacing w:after="0"/>
              <w:rPr>
                <w:sz w:val="23"/>
                <w:szCs w:val="23"/>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Ended</w:t>
            </w:r>
          </w:p>
        </w:tc>
      </w:tr>
      <w:tr>
        <w:trPr>
          <w:trHeight w:val="287"/>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May 9, 2026</w:t>
            </w:r>
          </w:p>
        </w:tc>
        <w:tc>
          <w:tcPr>
            <w:tcW w:w="20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7"/>
              </w:rPr>
              <w:t>May 9, 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r>
      <w:tr>
        <w:trPr>
          <w:trHeight w:val="533"/>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160,292</w:t>
            </w:r>
          </w:p>
        </w:tc>
        <w:tc>
          <w:tcPr>
            <w:tcW w:w="18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144,696</w:t>
            </w:r>
          </w:p>
        </w:tc>
        <w:tc>
          <w:tcPr>
            <w:tcW w:w="1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464,126</w:t>
            </w:r>
          </w:p>
        </w:tc>
        <w:tc>
          <w:tcPr>
            <w:tcW w:w="16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415,787</w:t>
            </w:r>
          </w:p>
        </w:tc>
      </w:tr>
      <w:tr>
        <w:trPr>
          <w:trHeight w:val="540"/>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Cash flow from operations</w:t>
            </w:r>
          </w:p>
        </w:tc>
        <w:tc>
          <w:tcPr>
            <w:tcW w:w="22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847,387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769,030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2,164,987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2,164,582</w:t>
            </w:r>
          </w:p>
        </w:tc>
      </w:tr>
      <w:tr>
        <w:trPr>
          <w:trHeight w:val="540"/>
        </w:trPr>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Capital spending</w:t>
            </w:r>
          </w:p>
        </w:tc>
        <w:tc>
          <w:tcPr>
            <w:tcW w:w="22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391,681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345,886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1,043,658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885,623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AutoZone's 3rd Quarter Highlights - Fiscal 2026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Selected Operating Highlights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Store Count &amp; Square Footage</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6"/>
        </w:trPr>
        <w:tc>
          <w:tcPr>
            <w:tcW w:w="13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12 Weeks Ended</w:t>
            </w: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7"/>
              </w:rPr>
              <w:t>12 Weeks Ended</w:t>
            </w:r>
          </w:p>
        </w:tc>
        <w:tc>
          <w:tcPr>
            <w:tcW w:w="182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36 Weeks Ended</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36 Weeks Ended</w:t>
            </w:r>
          </w:p>
        </w:tc>
        <w:tc>
          <w:tcPr>
            <w:tcW w:w="0" w:type="dxa"/>
            <w:vAlign w:val="bottom"/>
          </w:tcPr>
          <w:p>
            <w:pPr>
              <w:spacing w:after="0"/>
              <w:rPr>
                <w:sz w:val="1"/>
                <w:szCs w:val="1"/>
                <w:color w:val="auto"/>
              </w:rPr>
            </w:pPr>
          </w:p>
        </w:tc>
      </w:tr>
      <w:tr>
        <w:trPr>
          <w:trHeight w:val="287"/>
        </w:trPr>
        <w:tc>
          <w:tcPr>
            <w:tcW w:w="38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Domestic:</w:t>
            </w:r>
          </w:p>
        </w:tc>
        <w:tc>
          <w:tcPr>
            <w:tcW w:w="20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0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20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May 9, 2026</w:t>
            </w:r>
          </w:p>
        </w:tc>
        <w:tc>
          <w:tcPr>
            <w:tcW w:w="160" w:type="dxa"/>
            <w:vAlign w:val="bottom"/>
          </w:tcPr>
          <w:p>
            <w:pPr>
              <w:spacing w:after="0"/>
              <w:rPr>
                <w:sz w:val="24"/>
                <w:szCs w:val="24"/>
                <w:color w:val="auto"/>
              </w:rPr>
            </w:pPr>
          </w:p>
        </w:tc>
        <w:tc>
          <w:tcPr>
            <w:tcW w:w="160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0" w:type="dxa"/>
            <w:vAlign w:val="bottom"/>
          </w:tcPr>
          <w:p>
            <w:pPr>
              <w:spacing w:after="0"/>
              <w:rPr>
                <w:sz w:val="1"/>
                <w:szCs w:val="1"/>
                <w:color w:val="auto"/>
              </w:rPr>
            </w:pPr>
          </w:p>
        </w:tc>
      </w:tr>
      <w:tr>
        <w:trPr>
          <w:trHeight w:val="250"/>
        </w:trPr>
        <w:tc>
          <w:tcPr>
            <w:tcW w:w="3840" w:type="dxa"/>
            <w:vAlign w:val="bottom"/>
            <w:gridSpan w:val="3"/>
            <w:vMerge w:val="continue"/>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Beginning stores</w:t>
            </w:r>
          </w:p>
        </w:tc>
        <w:tc>
          <w:tcPr>
            <w:tcW w:w="20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6,709</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6,483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6,627</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6,432</w:t>
            </w:r>
          </w:p>
        </w:tc>
        <w:tc>
          <w:tcPr>
            <w:tcW w:w="0" w:type="dxa"/>
            <w:vAlign w:val="bottom"/>
          </w:tcPr>
          <w:p>
            <w:pPr>
              <w:spacing w:after="0"/>
              <w:rPr>
                <w:sz w:val="1"/>
                <w:szCs w:val="1"/>
                <w:color w:val="auto"/>
              </w:rPr>
            </w:pPr>
          </w:p>
        </w:tc>
      </w:tr>
      <w:tr>
        <w:trPr>
          <w:trHeight w:val="270"/>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Stores opened</w:t>
            </w:r>
          </w:p>
        </w:tc>
        <w:tc>
          <w:tcPr>
            <w:tcW w:w="20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57</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105</w:t>
            </w:r>
          </w:p>
        </w:tc>
        <w:tc>
          <w:tcPr>
            <w:tcW w:w="0" w:type="dxa"/>
            <w:vAlign w:val="bottom"/>
          </w:tcPr>
          <w:p>
            <w:pPr>
              <w:spacing w:after="0"/>
              <w:rPr>
                <w:sz w:val="1"/>
                <w:szCs w:val="1"/>
                <w:color w:val="auto"/>
              </w:rPr>
            </w:pPr>
          </w:p>
        </w:tc>
      </w:tr>
      <w:tr>
        <w:trPr>
          <w:trHeight w:val="282"/>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Stores closed</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7"/>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Ending domestic stores</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6,766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6,537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6,766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6,537</w:t>
            </w:r>
          </w:p>
        </w:tc>
        <w:tc>
          <w:tcPr>
            <w:tcW w:w="0" w:type="dxa"/>
            <w:vAlign w:val="bottom"/>
          </w:tcPr>
          <w:p>
            <w:pPr>
              <w:spacing w:after="0"/>
              <w:rPr>
                <w:sz w:val="1"/>
                <w:szCs w:val="1"/>
                <w:color w:val="auto"/>
              </w:rPr>
            </w:pPr>
          </w:p>
        </w:tc>
      </w:tr>
      <w:tr>
        <w:trPr>
          <w:trHeight w:val="526"/>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Relocated stores</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540"/>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Stores with commercial programs</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6,356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6,011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6,356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6,011</w:t>
            </w:r>
          </w:p>
        </w:tc>
        <w:tc>
          <w:tcPr>
            <w:tcW w:w="0" w:type="dxa"/>
            <w:vAlign w:val="bottom"/>
          </w:tcPr>
          <w:p>
            <w:pPr>
              <w:spacing w:after="0"/>
              <w:rPr>
                <w:sz w:val="1"/>
                <w:szCs w:val="1"/>
                <w:color w:val="auto"/>
              </w:rPr>
            </w:pPr>
          </w:p>
        </w:tc>
      </w:tr>
      <w:tr>
        <w:trPr>
          <w:trHeight w:val="540"/>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Square footage (in thousands)</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45,205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43,459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45,205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43,459</w:t>
            </w:r>
          </w:p>
        </w:tc>
        <w:tc>
          <w:tcPr>
            <w:tcW w:w="0" w:type="dxa"/>
            <w:vAlign w:val="bottom"/>
          </w:tcPr>
          <w:p>
            <w:pPr>
              <w:spacing w:after="0"/>
              <w:rPr>
                <w:sz w:val="1"/>
                <w:szCs w:val="1"/>
                <w:color w:val="auto"/>
              </w:rPr>
            </w:pPr>
          </w:p>
        </w:tc>
      </w:tr>
      <w:tr>
        <w:trPr>
          <w:trHeight w:val="528"/>
        </w:trPr>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Mexico:</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Beginning stores</w:t>
            </w:r>
          </w:p>
        </w:tc>
        <w:tc>
          <w:tcPr>
            <w:tcW w:w="20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913</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813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883</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794</w:t>
            </w:r>
          </w:p>
        </w:tc>
        <w:tc>
          <w:tcPr>
            <w:tcW w:w="0" w:type="dxa"/>
            <w:vAlign w:val="bottom"/>
          </w:tcPr>
          <w:p>
            <w:pPr>
              <w:spacing w:after="0"/>
              <w:rPr>
                <w:sz w:val="1"/>
                <w:szCs w:val="1"/>
                <w:color w:val="auto"/>
              </w:rPr>
            </w:pPr>
          </w:p>
        </w:tc>
      </w:tr>
      <w:tr>
        <w:trPr>
          <w:trHeight w:val="282"/>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Stores opened</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25</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77"/>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Ending Mexico stores</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933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838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933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838</w:t>
            </w:r>
          </w:p>
        </w:tc>
        <w:tc>
          <w:tcPr>
            <w:tcW w:w="0" w:type="dxa"/>
            <w:vAlign w:val="bottom"/>
          </w:tcPr>
          <w:p>
            <w:pPr>
              <w:spacing w:after="0"/>
              <w:rPr>
                <w:sz w:val="1"/>
                <w:szCs w:val="1"/>
                <w:color w:val="auto"/>
              </w:rPr>
            </w:pPr>
          </w:p>
        </w:tc>
      </w:tr>
      <w:tr>
        <w:trPr>
          <w:trHeight w:val="514"/>
        </w:trPr>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Brazil:</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Beginning stores</w:t>
            </w:r>
          </w:p>
        </w:tc>
        <w:tc>
          <w:tcPr>
            <w:tcW w:w="20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136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127</w:t>
            </w:r>
          </w:p>
        </w:tc>
        <w:tc>
          <w:tcPr>
            <w:tcW w:w="0" w:type="dxa"/>
            <w:vAlign w:val="bottom"/>
          </w:tcPr>
          <w:p>
            <w:pPr>
              <w:spacing w:after="0"/>
              <w:rPr>
                <w:sz w:val="1"/>
                <w:szCs w:val="1"/>
                <w:color w:val="auto"/>
              </w:rPr>
            </w:pPr>
          </w:p>
        </w:tc>
      </w:tr>
      <w:tr>
        <w:trPr>
          <w:trHeight w:val="282"/>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Stores opened</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65"/>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Ending Brazil stores</w:t>
            </w: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157</w:t>
            </w:r>
          </w:p>
        </w:tc>
        <w:tc>
          <w:tcPr>
            <w:tcW w:w="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141</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157</w:t>
            </w:r>
          </w:p>
        </w:tc>
        <w:tc>
          <w:tcPr>
            <w:tcW w:w="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534"/>
        </w:trPr>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7,856</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7,516</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7,856</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7,516</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Company stores opened, net</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38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163</w:t>
            </w:r>
          </w:p>
        </w:tc>
        <w:tc>
          <w:tcPr>
            <w:tcW w:w="0" w:type="dxa"/>
            <w:vAlign w:val="bottom"/>
          </w:tcPr>
          <w:p>
            <w:pPr>
              <w:spacing w:after="0"/>
              <w:rPr>
                <w:sz w:val="1"/>
                <w:szCs w:val="1"/>
                <w:color w:val="auto"/>
              </w:rPr>
            </w:pPr>
          </w:p>
        </w:tc>
      </w:tr>
      <w:tr>
        <w:trPr>
          <w:trHeight w:val="528"/>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Square footage (in thousands)</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53,339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50,761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53,339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50,761</w:t>
            </w:r>
          </w:p>
        </w:tc>
        <w:tc>
          <w:tcPr>
            <w:tcW w:w="0" w:type="dxa"/>
            <w:vAlign w:val="bottom"/>
          </w:tcPr>
          <w:p>
            <w:pPr>
              <w:spacing w:after="0"/>
              <w:rPr>
                <w:sz w:val="1"/>
                <w:szCs w:val="1"/>
                <w:color w:val="auto"/>
              </w:rPr>
            </w:pPr>
          </w:p>
        </w:tc>
      </w:tr>
      <w:tr>
        <w:trPr>
          <w:trHeight w:val="282"/>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Square footage per store</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6,790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6,754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6,790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6,754</w:t>
            </w:r>
          </w:p>
        </w:tc>
        <w:tc>
          <w:tcPr>
            <w:tcW w:w="0" w:type="dxa"/>
            <w:vAlign w:val="bottom"/>
          </w:tcPr>
          <w:p>
            <w:pPr>
              <w:spacing w:after="0"/>
              <w:rPr>
                <w:sz w:val="1"/>
                <w:szCs w:val="1"/>
                <w:color w:val="auto"/>
              </w:rPr>
            </w:pPr>
          </w:p>
        </w:tc>
      </w:tr>
      <w:tr>
        <w:trPr>
          <w:trHeight w:val="487"/>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Sales Statistics</w:t>
            </w:r>
          </w:p>
        </w:tc>
        <w:tc>
          <w:tcPr>
            <w:tcW w:w="24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 in thousands, except sales per average square foot)</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Trailing 4</w:t>
            </w:r>
          </w:p>
        </w:tc>
        <w:tc>
          <w:tcPr>
            <w:tcW w:w="160" w:type="dxa"/>
            <w:vAlign w:val="bottom"/>
          </w:tcPr>
          <w:p>
            <w:pPr>
              <w:spacing w:after="0"/>
              <w:rPr>
                <w:sz w:val="24"/>
                <w:szCs w:val="24"/>
                <w:color w:val="auto"/>
              </w:rPr>
            </w:pPr>
          </w:p>
        </w:tc>
        <w:tc>
          <w:tcPr>
            <w:tcW w:w="160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6"/>
              </w:rPr>
              <w:t>Trailing 4</w:t>
            </w: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5700" w:type="dxa"/>
            <w:vAlign w:val="bottom"/>
            <w:gridSpan w:val="6"/>
          </w:tcPr>
          <w:p>
            <w:pPr>
              <w:spacing w:after="0" w:line="302" w:lineRule="exact"/>
              <w:rPr>
                <w:sz w:val="20"/>
                <w:szCs w:val="20"/>
                <w:color w:val="auto"/>
              </w:rPr>
            </w:pPr>
            <w:r>
              <w:rPr>
                <w:rFonts w:ascii="Times New Roman" w:cs="Times New Roman" w:eastAsia="Times New Roman" w:hAnsi="Times New Roman"/>
                <w:sz w:val="18"/>
                <w:szCs w:val="18"/>
                <w:b w:val="1"/>
                <w:bCs w:val="1"/>
                <w:color w:val="auto"/>
              </w:rPr>
              <w:t xml:space="preserve">Total AutoZone Stores (Domestic, Mexico </w:t>
            </w:r>
            <w:r>
              <w:rPr>
                <w:rFonts w:ascii="Times New Roman" w:cs="Times New Roman" w:eastAsia="Times New Roman" w:hAnsi="Times New Roman"/>
                <w:sz w:val="34"/>
                <w:szCs w:val="34"/>
                <w:b w:val="1"/>
                <w:bCs w:val="1"/>
                <w:color w:val="auto"/>
                <w:vertAlign w:val="superscript"/>
              </w:rPr>
              <w:t>12 Weeks Ended</w:t>
            </w: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7"/>
              </w:rPr>
              <w:t>12 Weeks Ended</w:t>
            </w:r>
          </w:p>
        </w:tc>
        <w:tc>
          <w:tcPr>
            <w:tcW w:w="20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Quarters</w:t>
            </w:r>
          </w:p>
        </w:tc>
        <w:tc>
          <w:tcPr>
            <w:tcW w:w="160" w:type="dxa"/>
            <w:vAlign w:val="bottom"/>
          </w:tcPr>
          <w:p>
            <w:pPr>
              <w:spacing w:after="0"/>
              <w:rPr>
                <w:sz w:val="24"/>
                <w:szCs w:val="24"/>
                <w:color w:val="auto"/>
              </w:rPr>
            </w:pPr>
          </w:p>
        </w:tc>
        <w:tc>
          <w:tcPr>
            <w:tcW w:w="160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Quarters</w:t>
            </w:r>
          </w:p>
        </w:tc>
        <w:tc>
          <w:tcPr>
            <w:tcW w:w="0" w:type="dxa"/>
            <w:vAlign w:val="bottom"/>
          </w:tcPr>
          <w:p>
            <w:pPr>
              <w:spacing w:after="0"/>
              <w:rPr>
                <w:sz w:val="1"/>
                <w:szCs w:val="1"/>
                <w:color w:val="auto"/>
              </w:rPr>
            </w:pPr>
          </w:p>
        </w:tc>
      </w:tr>
      <w:tr>
        <w:trPr>
          <w:trHeight w:val="310"/>
        </w:trPr>
        <w:tc>
          <w:tcPr>
            <w:tcW w:w="3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and Brazil)</w:t>
            </w:r>
          </w:p>
        </w:tc>
        <w:tc>
          <w:tcPr>
            <w:tcW w:w="20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0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20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May 9, 2026</w:t>
            </w:r>
          </w:p>
        </w:tc>
        <w:tc>
          <w:tcPr>
            <w:tcW w:w="160" w:type="dxa"/>
            <w:vAlign w:val="bottom"/>
          </w:tcPr>
          <w:p>
            <w:pPr>
              <w:spacing w:after="0"/>
              <w:rPr>
                <w:sz w:val="24"/>
                <w:szCs w:val="24"/>
                <w:color w:val="auto"/>
              </w:rPr>
            </w:pPr>
          </w:p>
        </w:tc>
        <w:tc>
          <w:tcPr>
            <w:tcW w:w="1600" w:type="dxa"/>
            <w:vAlign w:val="bottom"/>
          </w:tcPr>
          <w:p>
            <w:pPr>
              <w:jc w:val="center"/>
              <w:ind w:right="52"/>
              <w:spacing w:after="0" w:line="311" w:lineRule="exact"/>
              <w:rPr>
                <w:sz w:val="20"/>
                <w:szCs w:val="20"/>
                <w:color w:val="auto"/>
              </w:rPr>
            </w:pPr>
            <w:r>
              <w:rPr>
                <w:rFonts w:ascii="Times New Roman" w:cs="Times New Roman" w:eastAsia="Times New Roman" w:hAnsi="Times New Roman"/>
                <w:sz w:val="22"/>
                <w:szCs w:val="22"/>
                <w:b w:val="1"/>
                <w:bCs w:val="1"/>
                <w:color w:val="auto"/>
                <w:w w:val="94"/>
              </w:rPr>
              <w:t>May 10, 2025</w:t>
            </w:r>
            <w:r>
              <w:rPr>
                <w:rFonts w:ascii="Times New Roman" w:cs="Times New Roman" w:eastAsia="Times New Roman" w:hAnsi="Times New Roman"/>
                <w:sz w:val="35"/>
                <w:szCs w:val="35"/>
                <w:b w:val="1"/>
                <w:bCs w:val="1"/>
                <w:color w:val="auto"/>
                <w:w w:val="94"/>
                <w:vertAlign w:val="superscript"/>
              </w:rPr>
              <w:t>(1)</w:t>
            </w:r>
          </w:p>
        </w:tc>
        <w:tc>
          <w:tcPr>
            <w:tcW w:w="0" w:type="dxa"/>
            <w:vAlign w:val="bottom"/>
          </w:tcPr>
          <w:p>
            <w:pPr>
              <w:spacing w:after="0"/>
              <w:rPr>
                <w:sz w:val="1"/>
                <w:szCs w:val="1"/>
                <w:color w:val="auto"/>
              </w:rPr>
            </w:pPr>
          </w:p>
        </w:tc>
      </w:tr>
      <w:tr>
        <w:trPr>
          <w:trHeight w:val="250"/>
        </w:trPr>
        <w:tc>
          <w:tcPr>
            <w:tcW w:w="3840" w:type="dxa"/>
            <w:vAlign w:val="bottom"/>
            <w:gridSpan w:val="3"/>
          </w:tcPr>
          <w:p>
            <w:pPr>
              <w:ind w:left="260"/>
              <w:spacing w:after="0" w:line="249" w:lineRule="exact"/>
              <w:rPr>
                <w:sz w:val="20"/>
                <w:szCs w:val="20"/>
                <w:color w:val="auto"/>
              </w:rPr>
            </w:pPr>
            <w:r>
              <w:rPr>
                <w:rFonts w:ascii="Times New Roman" w:cs="Times New Roman" w:eastAsia="Times New Roman" w:hAnsi="Times New Roman"/>
                <w:sz w:val="22"/>
                <w:szCs w:val="22"/>
                <w:color w:val="auto"/>
              </w:rPr>
              <w:t>Sales per average store</w:t>
            </w:r>
          </w:p>
        </w:tc>
        <w:tc>
          <w:tcPr>
            <w:tcW w:w="200" w:type="dxa"/>
            <w:vAlign w:val="bottom"/>
            <w:tcBorders>
              <w:top w:val="single" w:sz="8" w:color="auto"/>
            </w:tcBorders>
          </w:tcPr>
          <w:p>
            <w:pPr>
              <w:ind w:left="40"/>
              <w:spacing w:after="0" w:line="249"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619</w:t>
            </w:r>
          </w:p>
        </w:tc>
        <w:tc>
          <w:tcPr>
            <w:tcW w:w="24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rPr>
              <w:t>$</w:t>
            </w:r>
          </w:p>
        </w:tc>
        <w:tc>
          <w:tcPr>
            <w:tcW w:w="1520" w:type="dxa"/>
            <w:vAlign w:val="bottom"/>
            <w:tcBorders>
              <w:top w:val="single" w:sz="8" w:color="auto"/>
            </w:tcBorders>
          </w:tcPr>
          <w:p>
            <w:pPr>
              <w:jc w:val="right"/>
              <w:ind w:right="172"/>
              <w:spacing w:after="0" w:line="249" w:lineRule="exact"/>
              <w:rPr>
                <w:sz w:val="20"/>
                <w:szCs w:val="20"/>
                <w:color w:val="auto"/>
              </w:rPr>
            </w:pPr>
            <w:r>
              <w:rPr>
                <w:rFonts w:ascii="Times New Roman" w:cs="Times New Roman" w:eastAsia="Times New Roman" w:hAnsi="Times New Roman"/>
                <w:sz w:val="22"/>
                <w:szCs w:val="22"/>
                <w:color w:val="auto"/>
              </w:rPr>
              <w:t>586</w:t>
            </w:r>
          </w:p>
        </w:tc>
        <w:tc>
          <w:tcPr>
            <w:tcW w:w="22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2,600</w:t>
            </w:r>
          </w:p>
        </w:tc>
        <w:tc>
          <w:tcPr>
            <w:tcW w:w="180" w:type="dxa"/>
            <w:vAlign w:val="bottom"/>
          </w:tcPr>
          <w:p>
            <w:pPr>
              <w:spacing w:after="0"/>
              <w:rPr>
                <w:sz w:val="21"/>
                <w:szCs w:val="21"/>
                <w:color w:val="auto"/>
              </w:rPr>
            </w:pPr>
          </w:p>
        </w:tc>
        <w:tc>
          <w:tcPr>
            <w:tcW w:w="16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rPr>
              <w:t>$</w:t>
            </w:r>
          </w:p>
        </w:tc>
        <w:tc>
          <w:tcPr>
            <w:tcW w:w="1600" w:type="dxa"/>
            <w:vAlign w:val="bottom"/>
            <w:tcBorders>
              <w:top w:val="single" w:sz="8" w:color="auto"/>
            </w:tcBorders>
          </w:tcPr>
          <w:p>
            <w:pPr>
              <w:jc w:val="right"/>
              <w:ind w:right="192"/>
              <w:spacing w:after="0" w:line="249" w:lineRule="exact"/>
              <w:rPr>
                <w:sz w:val="20"/>
                <w:szCs w:val="20"/>
                <w:color w:val="auto"/>
              </w:rPr>
            </w:pPr>
            <w:r>
              <w:rPr>
                <w:rFonts w:ascii="Times New Roman" w:cs="Times New Roman" w:eastAsia="Times New Roman" w:hAnsi="Times New Roman"/>
                <w:sz w:val="22"/>
                <w:szCs w:val="22"/>
                <w:color w:val="auto"/>
              </w:rPr>
              <w:t>2,514</w:t>
            </w:r>
          </w:p>
        </w:tc>
        <w:tc>
          <w:tcPr>
            <w:tcW w:w="0" w:type="dxa"/>
            <w:vAlign w:val="bottom"/>
          </w:tcPr>
          <w:p>
            <w:pPr>
              <w:spacing w:after="0"/>
              <w:rPr>
                <w:sz w:val="1"/>
                <w:szCs w:val="1"/>
                <w:color w:val="auto"/>
              </w:rPr>
            </w:pPr>
          </w:p>
        </w:tc>
      </w:tr>
      <w:tr>
        <w:trPr>
          <w:trHeight w:val="282"/>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Sales per average square foot</w:t>
            </w:r>
          </w:p>
        </w:tc>
        <w:tc>
          <w:tcPr>
            <w:tcW w:w="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87</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384</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373</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Domestic Commercial</w:t>
      </w:r>
    </w:p>
    <w:p>
      <w:pPr>
        <w:sectPr>
          <w:pgSz w:w="11900" w:h="16838" w:orient="portrait"/>
          <w:cols w:equalWidth="0" w:num="1">
            <w:col w:w="11220"/>
          </w:cols>
          <w:pgMar w:left="340" w:top="111" w:right="3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1"/>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Total domestic commercial sales</w:t>
            </w:r>
          </w:p>
        </w:tc>
        <w:tc>
          <w:tcPr>
            <w:tcW w:w="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1,402,740</w:t>
            </w:r>
          </w:p>
        </w:tc>
        <w:tc>
          <w:tcPr>
            <w:tcW w:w="240" w:type="dxa"/>
            <w:vAlign w:val="bottom"/>
          </w:tcPr>
          <w:p>
            <w:pPr>
              <w:spacing w:after="0"/>
              <w:rPr>
                <w:sz w:val="23"/>
                <w:szCs w:val="23"/>
                <w:color w:val="auto"/>
              </w:rPr>
            </w:pP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1,270,332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5,611,393</w:t>
            </w:r>
          </w:p>
        </w:tc>
        <w:tc>
          <w:tcPr>
            <w:tcW w:w="1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5,112,930</w:t>
            </w:r>
          </w:p>
        </w:tc>
        <w:tc>
          <w:tcPr>
            <w:tcW w:w="0" w:type="dxa"/>
            <w:vAlign w:val="bottom"/>
          </w:tcPr>
          <w:p>
            <w:pPr>
              <w:spacing w:after="0"/>
              <w:rPr>
                <w:sz w:val="1"/>
                <w:szCs w:val="1"/>
                <w:color w:val="auto"/>
              </w:rPr>
            </w:pPr>
          </w:p>
        </w:tc>
      </w:tr>
      <w:tr>
        <w:trPr>
          <w:trHeight w:val="282"/>
        </w:trPr>
        <w:tc>
          <w:tcPr>
            <w:tcW w:w="38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 Increase vs. LY</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10.7%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528"/>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Average sales per program per week</w:t>
            </w:r>
          </w:p>
        </w:tc>
        <w:tc>
          <w:tcPr>
            <w:tcW w:w="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18.5</w:t>
            </w:r>
          </w:p>
        </w:tc>
        <w:tc>
          <w:tcPr>
            <w:tcW w:w="240" w:type="dxa"/>
            <w:vAlign w:val="bottom"/>
          </w:tcPr>
          <w:p>
            <w:pPr>
              <w:spacing w:after="0"/>
              <w:rPr>
                <w:sz w:val="24"/>
                <w:szCs w:val="24"/>
                <w:color w:val="auto"/>
              </w:rPr>
            </w:pP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17.7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17.5</w:t>
            </w: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16.3</w:t>
            </w:r>
          </w:p>
        </w:tc>
        <w:tc>
          <w:tcPr>
            <w:tcW w:w="0" w:type="dxa"/>
            <w:vAlign w:val="bottom"/>
          </w:tcPr>
          <w:p>
            <w:pPr>
              <w:spacing w:after="0"/>
              <w:rPr>
                <w:sz w:val="1"/>
                <w:szCs w:val="1"/>
                <w:color w:val="auto"/>
              </w:rPr>
            </w:pPr>
          </w:p>
        </w:tc>
      </w:tr>
      <w:tr>
        <w:trPr>
          <w:trHeight w:val="282"/>
        </w:trPr>
        <w:tc>
          <w:tcPr>
            <w:tcW w:w="38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 Increase vs. LY</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551"/>
        </w:trPr>
        <w:tc>
          <w:tcPr>
            <w:tcW w:w="9460" w:type="dxa"/>
            <w:vAlign w:val="bottom"/>
            <w:gridSpan w:val="13"/>
          </w:tcPr>
          <w:p>
            <w:pPr>
              <w:spacing w:after="0"/>
              <w:rPr>
                <w:sz w:val="20"/>
                <w:szCs w:val="20"/>
                <w:color w:val="auto"/>
              </w:rPr>
            </w:pPr>
            <w:r>
              <w:rPr>
                <w:rFonts w:ascii="Times New Roman" w:cs="Times New Roman" w:eastAsia="Times New Roman" w:hAnsi="Times New Roman"/>
                <w:sz w:val="35"/>
                <w:szCs w:val="35"/>
                <w:i w:val="1"/>
                <w:iCs w:val="1"/>
                <w:color w:val="auto"/>
                <w:vertAlign w:val="superscript"/>
              </w:rPr>
              <w:t>(1)</w:t>
            </w:r>
            <w:r>
              <w:rPr>
                <w:rFonts w:ascii="Times New Roman" w:cs="Times New Roman" w:eastAsia="Times New Roman" w:hAnsi="Times New Roman"/>
                <w:sz w:val="22"/>
                <w:szCs w:val="22"/>
                <w:i w:val="1"/>
                <w:iCs w:val="1"/>
                <w:color w:val="auto"/>
              </w:rPr>
              <w:t>Trailing 4 Quarters ending May 10, 2025 include an additional week of sales of approximately $359.1</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60" w:type="dxa"/>
            <w:vAlign w:val="bottom"/>
            <w:gridSpan w:val="13"/>
          </w:tcPr>
          <w:p>
            <w:pPr>
              <w:spacing w:after="0" w:line="243" w:lineRule="exact"/>
              <w:rPr>
                <w:sz w:val="20"/>
                <w:szCs w:val="20"/>
                <w:color w:val="auto"/>
              </w:rPr>
            </w:pPr>
            <w:r>
              <w:rPr>
                <w:rFonts w:ascii="Times New Roman" w:cs="Times New Roman" w:eastAsia="Times New Roman" w:hAnsi="Times New Roman"/>
                <w:sz w:val="22"/>
                <w:szCs w:val="22"/>
                <w:i w:val="1"/>
                <w:iCs w:val="1"/>
                <w:color w:val="auto"/>
                <w:w w:val="98"/>
              </w:rPr>
              <w:t>million for Total AutoZone Stores with $95.7 million for Domestic Commercial. Sales per average store and</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20" w:type="dxa"/>
            <w:vAlign w:val="bottom"/>
            <w:gridSpan w:val="7"/>
          </w:tcPr>
          <w:p>
            <w:pPr>
              <w:spacing w:after="0"/>
              <w:rPr>
                <w:sz w:val="20"/>
                <w:szCs w:val="20"/>
                <w:color w:val="auto"/>
              </w:rPr>
            </w:pPr>
            <w:r>
              <w:rPr>
                <w:rFonts w:ascii="Times New Roman" w:cs="Times New Roman" w:eastAsia="Times New Roman" w:hAnsi="Times New Roman"/>
                <w:sz w:val="22"/>
                <w:szCs w:val="22"/>
                <w:i w:val="1"/>
                <w:iCs w:val="1"/>
                <w:color w:val="auto"/>
                <w:w w:val="97"/>
              </w:rPr>
              <w:t>sales per square foot benefited from the additional week by $49K, and $</w:t>
            </w:r>
          </w:p>
        </w:tc>
        <w:tc>
          <w:tcPr>
            <w:tcW w:w="1440" w:type="dxa"/>
            <w:vAlign w:val="bottom"/>
            <w:gridSpan w:val="3"/>
          </w:tcPr>
          <w:p>
            <w:pPr>
              <w:spacing w:after="0"/>
              <w:rPr>
                <w:sz w:val="20"/>
                <w:szCs w:val="20"/>
                <w:color w:val="auto"/>
              </w:rPr>
            </w:pPr>
            <w:r>
              <w:rPr>
                <w:rFonts w:ascii="Times New Roman" w:cs="Times New Roman" w:eastAsia="Times New Roman" w:hAnsi="Times New Roman"/>
                <w:sz w:val="22"/>
                <w:szCs w:val="22"/>
                <w:i w:val="1"/>
                <w:iCs w:val="1"/>
                <w:color w:val="auto"/>
                <w:w w:val="96"/>
              </w:rPr>
              <w:t>7K, respectively.</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150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5"/>
              </w:rPr>
              <w:t>(2)</w:t>
            </w:r>
          </w:p>
        </w:tc>
        <w:tc>
          <w:tcPr>
            <w:tcW w:w="2140" w:type="dxa"/>
            <w:vAlign w:val="bottom"/>
          </w:tcPr>
          <w:p>
            <w:pPr>
              <w:spacing w:after="0"/>
              <w:rPr>
                <w:sz w:val="24"/>
                <w:szCs w:val="24"/>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12 Weeks Ended</w:t>
            </w:r>
          </w:p>
        </w:tc>
        <w:tc>
          <w:tcPr>
            <w:tcW w:w="1960" w:type="dxa"/>
            <w:vAlign w:val="bottom"/>
            <w:gridSpan w:val="4"/>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12 Weeks Ended</w:t>
            </w: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36 Weeks Ended</w:t>
            </w:r>
          </w:p>
        </w:tc>
        <w:tc>
          <w:tcPr>
            <w:tcW w:w="176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36 Weeks Ended</w:t>
            </w:r>
          </w:p>
        </w:tc>
        <w:tc>
          <w:tcPr>
            <w:tcW w:w="0" w:type="dxa"/>
            <w:vAlign w:val="bottom"/>
          </w:tcPr>
          <w:p>
            <w:pPr>
              <w:spacing w:after="0"/>
              <w:rPr>
                <w:sz w:val="1"/>
                <w:szCs w:val="1"/>
                <w:color w:val="auto"/>
              </w:rPr>
            </w:pPr>
          </w:p>
        </w:tc>
      </w:tr>
      <w:tr>
        <w:trPr>
          <w:trHeight w:val="196"/>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6"/>
              </w:rPr>
              <w:t>Same store sales</w:t>
            </w:r>
          </w:p>
        </w:tc>
        <w:tc>
          <w:tcPr>
            <w:tcW w:w="200" w:type="dxa"/>
            <w:vAlign w:val="bottom"/>
            <w:tcBorders>
              <w:bottom w:val="single" w:sz="8" w:color="auto"/>
            </w:tcBorders>
            <w:vMerge w:val="continue"/>
          </w:tcPr>
          <w:p>
            <w:pPr>
              <w:spacing w:after="0"/>
              <w:rPr>
                <w:sz w:val="16"/>
                <w:szCs w:val="16"/>
                <w:color w:val="auto"/>
              </w:rPr>
            </w:pPr>
          </w:p>
        </w:tc>
        <w:tc>
          <w:tcPr>
            <w:tcW w:w="214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19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May 10, 2025</w:t>
            </w:r>
          </w:p>
        </w:tc>
        <w:tc>
          <w:tcPr>
            <w:tcW w:w="180" w:type="dxa"/>
            <w:vAlign w:val="bottom"/>
          </w:tcPr>
          <w:p>
            <w:pPr>
              <w:spacing w:after="0"/>
              <w:rPr>
                <w:sz w:val="16"/>
                <w:szCs w:val="16"/>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20" w:type="dxa"/>
            <w:vAlign w:val="bottom"/>
          </w:tcPr>
          <w:p>
            <w:pPr>
              <w:spacing w:after="0"/>
              <w:rPr>
                <w:sz w:val="16"/>
                <w:szCs w:val="16"/>
                <w:color w:val="auto"/>
              </w:rPr>
            </w:pPr>
          </w:p>
        </w:tc>
        <w:tc>
          <w:tcPr>
            <w:tcW w:w="154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May 10, 2025</w:t>
            </w:r>
          </w:p>
        </w:tc>
        <w:tc>
          <w:tcPr>
            <w:tcW w:w="0" w:type="dxa"/>
            <w:vAlign w:val="bottom"/>
          </w:tcPr>
          <w:p>
            <w:pPr>
              <w:spacing w:after="0"/>
              <w:rPr>
                <w:sz w:val="1"/>
                <w:szCs w:val="1"/>
                <w:color w:val="auto"/>
              </w:rPr>
            </w:pPr>
          </w:p>
        </w:tc>
      </w:tr>
      <w:tr>
        <w:trPr>
          <w:trHeight w:val="66"/>
        </w:trPr>
        <w:tc>
          <w:tcPr>
            <w:tcW w:w="150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840" w:type="dxa"/>
            <w:vAlign w:val="bottom"/>
            <w:gridSpan w:val="3"/>
            <w:vMerge w:val="restart"/>
          </w:tcPr>
          <w:p>
            <w:pPr>
              <w:ind w:left="260"/>
              <w:spacing w:after="0"/>
              <w:rPr>
                <w:sz w:val="20"/>
                <w:szCs w:val="20"/>
                <w:color w:val="auto"/>
              </w:rPr>
            </w:pPr>
            <w:r>
              <w:rPr>
                <w:rFonts w:ascii="Times New Roman" w:cs="Times New Roman" w:eastAsia="Times New Roman" w:hAnsi="Times New Roman"/>
                <w:sz w:val="22"/>
                <w:szCs w:val="22"/>
                <w:color w:val="auto"/>
              </w:rPr>
              <w:t>Domestic</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4.1%</w:t>
            </w:r>
          </w:p>
        </w:tc>
        <w:tc>
          <w:tcPr>
            <w:tcW w:w="24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72"/>
              <w:spacing w:after="0" w:line="249" w:lineRule="exact"/>
              <w:rPr>
                <w:sz w:val="20"/>
                <w:szCs w:val="20"/>
                <w:color w:val="auto"/>
              </w:rPr>
            </w:pPr>
            <w:r>
              <w:rPr>
                <w:rFonts w:ascii="Times New Roman" w:cs="Times New Roman" w:eastAsia="Times New Roman" w:hAnsi="Times New Roman"/>
                <w:sz w:val="22"/>
                <w:szCs w:val="22"/>
                <w:color w:val="auto"/>
              </w:rPr>
              <w:t>5.0%</w:t>
            </w:r>
          </w:p>
        </w:tc>
        <w:tc>
          <w:tcPr>
            <w:tcW w:w="2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4.2%</w:t>
            </w:r>
          </w:p>
        </w:tc>
        <w:tc>
          <w:tcPr>
            <w:tcW w:w="1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92"/>
              <w:spacing w:after="0" w:line="249"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International</w:t>
            </w:r>
          </w:p>
        </w:tc>
        <w:tc>
          <w:tcPr>
            <w:tcW w:w="20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16.6%</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(9.2%)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82"/>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Total Company</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528"/>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International - Constant Currency</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10.4%</w:t>
            </w:r>
          </w:p>
        </w:tc>
        <w:tc>
          <w:tcPr>
            <w:tcW w:w="0" w:type="dxa"/>
            <w:vAlign w:val="bottom"/>
          </w:tcPr>
          <w:p>
            <w:pPr>
              <w:spacing w:after="0"/>
              <w:rPr>
                <w:sz w:val="1"/>
                <w:szCs w:val="1"/>
                <w:color w:val="auto"/>
              </w:rPr>
            </w:pPr>
          </w:p>
        </w:tc>
      </w:tr>
      <w:tr>
        <w:trPr>
          <w:trHeight w:val="282"/>
        </w:trPr>
        <w:tc>
          <w:tcPr>
            <w:tcW w:w="38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Total Company - Constant Currency</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2080"/>
        <w:spacing w:after="0" w:line="215" w:lineRule="auto"/>
        <w:rPr>
          <w:sz w:val="20"/>
          <w:szCs w:val="20"/>
          <w:color w:val="auto"/>
        </w:rPr>
      </w:pPr>
      <w:r>
        <w:rPr>
          <w:rFonts w:ascii="Times New Roman" w:cs="Times New Roman" w:eastAsia="Times New Roman" w:hAnsi="Times New Roman"/>
          <w:sz w:val="35"/>
          <w:szCs w:val="35"/>
          <w:i w:val="1"/>
          <w:iCs w:val="1"/>
          <w:color w:val="auto"/>
          <w:vertAlign w:val="superscript"/>
        </w:rPr>
        <w:t>(2)</w:t>
      </w:r>
      <w:r>
        <w:rPr>
          <w:rFonts w:ascii="Times New Roman" w:cs="Times New Roman" w:eastAsia="Times New Roman" w:hAnsi="Times New Roman"/>
          <w:sz w:val="22"/>
          <w:szCs w:val="22"/>
          <w:i w:val="1"/>
          <w:iCs w:val="1"/>
          <w:color w:val="auto"/>
        </w:rPr>
        <w:t>Same store sales are based on sales for all stores open at least one year. Constant Currency same store sales exclude the impact of fluctuations of foreign currency exchange rates by converting both the current year and prior year international results at the prior year foreign currency exchange rate.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Inventory Statistics (Total Stores)</w:t>
            </w:r>
          </w:p>
        </w:tc>
        <w:tc>
          <w:tcPr>
            <w:tcW w:w="200" w:type="dxa"/>
            <w:vAlign w:val="bottom"/>
          </w:tcPr>
          <w:p>
            <w:pPr>
              <w:spacing w:after="0"/>
              <w:rPr>
                <w:sz w:val="22"/>
                <w:szCs w:val="22"/>
                <w:color w:val="auto"/>
              </w:rPr>
            </w:pPr>
          </w:p>
        </w:tc>
        <w:tc>
          <w:tcPr>
            <w:tcW w:w="142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as of</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as of</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1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May 10, 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Accounts payable/inventory</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in thousands)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Inventory</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7,559,056</w:t>
            </w:r>
          </w:p>
        </w:tc>
        <w:tc>
          <w:tcPr>
            <w:tcW w:w="2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6,822,881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Inventory per store</w:t>
            </w:r>
          </w:p>
        </w:tc>
        <w:tc>
          <w:tcPr>
            <w:tcW w:w="20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908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Net inventory (net of payables)</w:t>
            </w:r>
          </w:p>
        </w:tc>
        <w:tc>
          <w:tcPr>
            <w:tcW w:w="200" w:type="dxa"/>
            <w:vAlign w:val="bottom"/>
          </w:tcPr>
          <w:p>
            <w:pPr>
              <w:spacing w:after="0"/>
              <w:rPr>
                <w:sz w:val="23"/>
                <w:szCs w:val="23"/>
                <w:color w:val="auto"/>
              </w:rPr>
            </w:pPr>
          </w:p>
        </w:tc>
        <w:tc>
          <w:tcPr>
            <w:tcW w:w="166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(842,221)</w:t>
            </w:r>
          </w:p>
        </w:tc>
        <w:tc>
          <w:tcPr>
            <w:tcW w:w="200" w:type="dxa"/>
            <w:vAlign w:val="bottom"/>
          </w:tcPr>
          <w:p>
            <w:pPr>
              <w:spacing w:after="0"/>
              <w:rPr>
                <w:sz w:val="23"/>
                <w:szCs w:val="23"/>
                <w:color w:val="auto"/>
              </w:rPr>
            </w:pPr>
          </w:p>
        </w:tc>
        <w:tc>
          <w:tcPr>
            <w:tcW w:w="16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(1,064,536)</w:t>
            </w:r>
          </w:p>
        </w:tc>
        <w:tc>
          <w:tcPr>
            <w:tcW w:w="0" w:type="dxa"/>
            <w:vAlign w:val="bottom"/>
          </w:tcPr>
          <w:p>
            <w:pPr>
              <w:spacing w:after="0"/>
              <w:rPr>
                <w:sz w:val="1"/>
                <w:szCs w:val="1"/>
                <w:color w:val="auto"/>
              </w:rPr>
            </w:pPr>
          </w:p>
        </w:tc>
      </w:tr>
      <w:tr>
        <w:trPr>
          <w:trHeight w:val="282"/>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Net inventory/per store</w:t>
            </w:r>
          </w:p>
        </w:tc>
        <w:tc>
          <w:tcPr>
            <w:tcW w:w="200" w:type="dxa"/>
            <w:vAlign w:val="bottom"/>
          </w:tcPr>
          <w:p>
            <w:pPr>
              <w:spacing w:after="0"/>
              <w:rPr>
                <w:sz w:val="24"/>
                <w:szCs w:val="24"/>
                <w:color w:val="auto"/>
              </w:rPr>
            </w:pPr>
          </w:p>
        </w:tc>
        <w:tc>
          <w:tcPr>
            <w:tcW w:w="166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(107)</w:t>
            </w:r>
          </w:p>
        </w:tc>
        <w:tc>
          <w:tcPr>
            <w:tcW w:w="200" w:type="dxa"/>
            <w:vAlign w:val="bottom"/>
          </w:tcPr>
          <w:p>
            <w:pPr>
              <w:spacing w:after="0"/>
              <w:rPr>
                <w:sz w:val="24"/>
                <w:szCs w:val="24"/>
                <w:color w:val="auto"/>
              </w:rPr>
            </w:pPr>
          </w:p>
        </w:tc>
        <w:tc>
          <w:tcPr>
            <w:tcW w:w="16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r>
        <w:trPr>
          <w:trHeight w:val="524"/>
        </w:trPr>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4"/>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Trailing 5 Quarters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May 9, 2026</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May 10, 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Inventory turns</w:t>
            </w:r>
          </w:p>
        </w:tc>
        <w:tc>
          <w:tcPr>
            <w:tcW w:w="20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w:t>
            </w: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x</w:t>
            </w:r>
          </w:p>
        </w:tc>
        <w:tc>
          <w:tcPr>
            <w:tcW w:w="200" w:type="dxa"/>
            <w:vAlign w:val="bottom"/>
          </w:tcPr>
          <w:p>
            <w:pPr>
              <w:spacing w:after="0"/>
              <w:rPr>
                <w:sz w:val="24"/>
                <w:szCs w:val="24"/>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w w:val="90"/>
              </w:rPr>
              <w:t>x</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2026-05-26T05:57:22Z</dcterms:created>
  <dcterms:modified xsi:type="dcterms:W3CDTF">2026-05-26T05:57:22Z</dcterms:modified>
</cp:coreProperties>
</file>