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7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4" w:lineRule="exact"/>
        <w:rPr>
          <w:sz w:val="24"/>
          <w:szCs w:val="24"/>
          <w:color w:val="auto"/>
        </w:rPr>
      </w:pPr>
    </w:p>
    <w:p>
      <w:pPr>
        <w:ind w:left="3726" w:right="3160" w:hanging="3726"/>
        <w:spacing w:after="0" w:line="298" w:lineRule="auto"/>
        <w:tabs>
          <w:tab w:leader="none" w:pos="47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 For the quarterly period ended May 9, 2026 or</w:t>
      </w:r>
    </w:p>
    <w:p>
      <w:pPr>
        <w:spacing w:after="0" w:line="41" w:lineRule="exact"/>
        <w:rPr>
          <w:sz w:val="24"/>
          <w:szCs w:val="24"/>
          <w:color w:val="auto"/>
        </w:rPr>
      </w:pPr>
    </w:p>
    <w:p>
      <w:pPr>
        <w:ind w:left="566" w:hanging="566"/>
        <w:spacing w:after="0"/>
        <w:tabs>
          <w:tab w:leader="none" w:pos="5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9" w:lineRule="exact"/>
        <w:rPr>
          <w:sz w:val="24"/>
          <w:szCs w:val="24"/>
          <w:color w:val="auto"/>
        </w:rPr>
      </w:pPr>
    </w:p>
    <w:p>
      <w:pPr>
        <w:ind w:left="3486"/>
        <w:spacing w:after="0"/>
        <w:rPr>
          <w:sz w:val="20"/>
          <w:szCs w:val="20"/>
          <w:color w:val="auto"/>
        </w:rPr>
      </w:pPr>
      <w:r>
        <w:rPr>
          <w:rFonts w:ascii="Times New Roman" w:cs="Times New Roman" w:eastAsia="Times New Roman" w:hAnsi="Times New Roman"/>
          <w:sz w:val="18"/>
          <w:szCs w:val="18"/>
          <w:color w:val="auto"/>
        </w:rPr>
        <w:t>For the transition period from _______ to ________.</w:t>
      </w:r>
    </w:p>
    <w:p>
      <w:pPr>
        <w:spacing w:after="0" w:line="84" w:lineRule="exact"/>
        <w:rPr>
          <w:sz w:val="24"/>
          <w:szCs w:val="24"/>
          <w:color w:val="auto"/>
        </w:rPr>
      </w:pPr>
    </w:p>
    <w:p>
      <w:pPr>
        <w:ind w:left="4186"/>
        <w:spacing w:after="0"/>
        <w:rPr>
          <w:sz w:val="20"/>
          <w:szCs w:val="20"/>
          <w:color w:val="auto"/>
        </w:rPr>
      </w:pPr>
      <w:r>
        <w:rPr>
          <w:rFonts w:ascii="Times New Roman" w:cs="Times New Roman" w:eastAsia="Times New Roman" w:hAnsi="Times New Roman"/>
          <w:sz w:val="18"/>
          <w:szCs w:val="18"/>
          <w:color w:val="auto"/>
        </w:rPr>
        <w:t>Commission file number 1-10714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43180</wp:posOffset>
            </wp:positionV>
            <wp:extent cx="337756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75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9"/>
          <w:szCs w:val="29"/>
          <w:b w:val="1"/>
          <w:bCs w:val="1"/>
          <w:color w:val="auto"/>
        </w:rPr>
        <w:t>AUTOZONE, INC.</w:t>
      </w:r>
    </w:p>
    <w:p>
      <w:pPr>
        <w:spacing w:after="0" w:line="46"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47" w:lineRule="exact"/>
        <w:rPr>
          <w:sz w:val="24"/>
          <w:szCs w:val="24"/>
          <w:color w:val="auto"/>
        </w:rPr>
      </w:pPr>
    </w:p>
    <w:tbl>
      <w:tblPr>
        <w:tblLayout w:type="fixed"/>
        <w:tblInd w:w="1026" w:type="dxa"/>
        <w:tblCellMar>
          <w:top w:w="0" w:type="dxa"/>
          <w:left w:w="0" w:type="dxa"/>
          <w:bottom w:w="0" w:type="dxa"/>
          <w:right w:w="0" w:type="dxa"/>
        </w:tblCellMar>
      </w:tblPr>
      <w:tr>
        <w:trPr>
          <w:trHeight w:val="204"/>
        </w:trPr>
        <w:tc>
          <w:tcPr>
            <w:tcW w:w="4260" w:type="dxa"/>
            <w:vAlign w:val="bottom"/>
          </w:tcPr>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35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62-1482048</w:t>
            </w:r>
          </w:p>
        </w:tc>
      </w:tr>
      <w:tr>
        <w:trPr>
          <w:trHeight w:val="203"/>
        </w:trPr>
        <w:tc>
          <w:tcPr>
            <w:tcW w:w="4260" w:type="dxa"/>
            <w:vAlign w:val="bottom"/>
          </w:tcPr>
          <w:p>
            <w:pPr>
              <w:jc w:val="center"/>
              <w:ind w:right="10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4260" w:type="dxa"/>
            <w:vAlign w:val="bottom"/>
          </w:tcPr>
          <w:p>
            <w:pPr>
              <w:jc w:val="center"/>
              <w:ind w:right="11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560" w:type="dxa"/>
            <w:vAlign w:val="bottom"/>
          </w:tcPr>
          <w:p>
            <w:pPr>
              <w:spacing w:after="0"/>
              <w:rPr>
                <w:sz w:val="18"/>
                <w:szCs w:val="18"/>
                <w:color w:val="auto"/>
              </w:rPr>
            </w:pPr>
          </w:p>
        </w:tc>
      </w:tr>
      <w:tr>
        <w:trPr>
          <w:trHeight w:val="384"/>
        </w:trPr>
        <w:tc>
          <w:tcPr>
            <w:tcW w:w="4260" w:type="dxa"/>
            <w:vAlign w:val="bottom"/>
          </w:tcPr>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123 South Front Street, Memphis, Tennessee</w:t>
            </w:r>
          </w:p>
        </w:tc>
        <w:tc>
          <w:tcPr>
            <w:tcW w:w="35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38103</w:t>
            </w:r>
          </w:p>
        </w:tc>
      </w:tr>
      <w:tr>
        <w:trPr>
          <w:trHeight w:val="210"/>
        </w:trPr>
        <w:tc>
          <w:tcPr>
            <w:tcW w:w="4260" w:type="dxa"/>
            <w:vAlign w:val="bottom"/>
          </w:tcPr>
          <w:p>
            <w:pPr>
              <w:jc w:val="center"/>
              <w:ind w:right="11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2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(901) 495-6500</w:t>
      </w:r>
    </w:p>
    <w:p>
      <w:pPr>
        <w:spacing w:after="0" w:line="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ind w:left="2446"/>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92"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tbl>
      <w:tblPr>
        <w:tblLayout w:type="fixed"/>
        <w:tblInd w:w="6" w:type="dxa"/>
        <w:tblCellMar>
          <w:top w:w="0" w:type="dxa"/>
          <w:left w:w="0" w:type="dxa"/>
          <w:bottom w:w="0" w:type="dxa"/>
          <w:right w:w="0" w:type="dxa"/>
        </w:tblCellMar>
      </w:tblPr>
      <w:tr>
        <w:trPr>
          <w:trHeight w:val="213"/>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2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AZO</w:t>
            </w:r>
          </w:p>
        </w:tc>
        <w:tc>
          <w:tcPr>
            <w:tcW w:w="34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98" w:lineRule="exact"/>
        <w:rPr>
          <w:sz w:val="24"/>
          <w:szCs w:val="24"/>
          <w:color w:val="auto"/>
        </w:rPr>
      </w:pPr>
    </w:p>
    <w:p>
      <w:pPr>
        <w:ind w:left="6" w:right="38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left="6" w:right="2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left="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6"/>
          </w:cols>
          <w:pgMar w:left="834" w:top="661" w:right="839" w:bottom="1440" w:gutter="0" w:footer="0" w:header="0"/>
        </w:sectPr>
      </w:pPr>
    </w:p>
    <w:p>
      <w:pPr>
        <w:spacing w:after="0" w:line="101" w:lineRule="exact"/>
        <w:rPr>
          <w:sz w:val="24"/>
          <w:szCs w:val="24"/>
          <w:color w:val="auto"/>
        </w:rPr>
      </w:pPr>
    </w:p>
    <w:p>
      <w:pPr>
        <w:ind w:left="6"/>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6"/>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ectPr>
          <w:pgSz w:w="11900" w:h="16838" w:orient="portrait"/>
          <w:cols w:equalWidth="0" w:num="3">
            <w:col w:w="4766" w:space="720"/>
            <w:col w:w="1780" w:space="80"/>
            <w:col w:w="2880"/>
          </w:cols>
          <w:pgMar w:left="834" w:top="661" w:right="83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8"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1766" w:space="80"/>
            <w:col w:w="8380"/>
          </w:cols>
          <w:pgMar w:left="834" w:top="661" w:right="839" w:bottom="1440" w:gutter="0" w:footer="0" w:header="0"/>
          <w:type w:val="continuous"/>
        </w:sectPr>
      </w:pPr>
    </w:p>
    <w:p>
      <w:pPr>
        <w:ind w:left="6"/>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 w:right="180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0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Common Stock, $.01 Par Value – 16,325,355 shares outstanding as of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440690</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20320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63500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TABLE OF CONTENTS</w:t>
            </w:r>
          </w:p>
        </w:tc>
        <w:tc>
          <w:tcPr>
            <w:tcW w:w="3040" w:type="dxa"/>
            <w:vAlign w:val="bottom"/>
            <w:gridSpan w:val="11"/>
          </w:tcPr>
          <w:p>
            <w:pPr>
              <w:spacing w:after="0"/>
              <w:rPr>
                <w:sz w:val="16"/>
                <w:szCs w:val="16"/>
                <w:color w:val="auto"/>
              </w:rPr>
            </w:pPr>
          </w:p>
        </w:tc>
        <w:tc>
          <w:tcPr>
            <w:tcW w:w="540" w:type="dxa"/>
            <w:vAlign w:val="bottom"/>
          </w:tcPr>
          <w:p>
            <w:pPr>
              <w:spacing w:after="0"/>
              <w:rPr>
                <w:sz w:val="16"/>
                <w:szCs w:val="16"/>
                <w:color w:val="auto"/>
              </w:rPr>
            </w:pPr>
          </w:p>
        </w:tc>
      </w:tr>
      <w:tr>
        <w:trPr>
          <w:trHeight w:val="372"/>
        </w:trPr>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820" w:type="dxa"/>
            <w:vAlign w:val="bottom"/>
            <w:gridSpan w:val="6"/>
          </w:tcPr>
          <w:p>
            <w:pPr>
              <w:spacing w:after="0"/>
              <w:rPr>
                <w:sz w:val="24"/>
                <w:szCs w:val="24"/>
                <w:color w:val="auto"/>
              </w:rPr>
            </w:pPr>
          </w:p>
        </w:tc>
        <w:tc>
          <w:tcPr>
            <w:tcW w:w="22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470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260" w:type="dxa"/>
            <w:vAlign w:val="bottom"/>
          </w:tcPr>
          <w:p>
            <w:pPr>
              <w:spacing w:after="0"/>
              <w:rPr>
                <w:sz w:val="17"/>
                <w:szCs w:val="17"/>
                <w:color w:val="auto"/>
              </w:rPr>
            </w:pPr>
          </w:p>
        </w:tc>
        <w:tc>
          <w:tcPr>
            <w:tcW w:w="1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6960" w:type="dxa"/>
            <w:vAlign w:val="bottom"/>
            <w:gridSpan w:val="22"/>
          </w:tcPr>
          <w:p>
            <w:pPr>
              <w:ind w:left="120"/>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CONDENSED CONSOLIDATED STATEMENTS OF INCOME</w:t>
            </w:r>
          </w:p>
        </w:tc>
        <w:tc>
          <w:tcPr>
            <w:tcW w:w="192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CONDENSED CONSOLIDATED STATEMENTS OF COMPREHENSIVE INCOME</w:t>
            </w:r>
          </w:p>
        </w:tc>
        <w:tc>
          <w:tcPr>
            <w:tcW w:w="3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CONDENSED CONSOLIDATED STATEMENTS OF STOCKHOLDERS’ DEFICIT</w:t>
            </w:r>
          </w:p>
        </w:tc>
        <w:tc>
          <w:tcPr>
            <w:tcW w:w="42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6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60" w:type="dxa"/>
            <w:vAlign w:val="bottom"/>
          </w:tcPr>
          <w:p>
            <w:pPr>
              <w:spacing w:after="0"/>
              <w:rPr>
                <w:sz w:val="17"/>
                <w:szCs w:val="17"/>
                <w:color w:val="auto"/>
              </w:rPr>
            </w:pPr>
          </w:p>
        </w:tc>
        <w:tc>
          <w:tcPr>
            <w:tcW w:w="5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6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6"/>
          </w:tcPr>
          <w:p>
            <w:pPr>
              <w:spacing w:after="0"/>
              <w:rPr>
                <w:sz w:val="17"/>
                <w:szCs w:val="17"/>
                <w:color w:val="auto"/>
              </w:rPr>
            </w:pPr>
          </w:p>
        </w:tc>
        <w:tc>
          <w:tcPr>
            <w:tcW w:w="38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60" w:type="dxa"/>
            <w:vAlign w:val="bottom"/>
          </w:tcPr>
          <w:p>
            <w:pPr>
              <w:spacing w:after="0"/>
              <w:rPr>
                <w:sz w:val="17"/>
                <w:szCs w:val="17"/>
                <w:color w:val="auto"/>
              </w:rPr>
            </w:pPr>
          </w:p>
        </w:tc>
        <w:tc>
          <w:tcPr>
            <w:tcW w:w="1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960" w:type="dxa"/>
            <w:vAlign w:val="bottom"/>
            <w:gridSpan w:val="22"/>
          </w:tcPr>
          <w:p>
            <w:pPr>
              <w:ind w:left="1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2"/>
              </w:rPr>
              <w:t>PART II.</w:t>
            </w:r>
          </w:p>
        </w:tc>
        <w:tc>
          <w:tcPr>
            <w:tcW w:w="760" w:type="dxa"/>
            <w:vAlign w:val="bottom"/>
            <w:gridSpan w:val="5"/>
          </w:tcPr>
          <w:p>
            <w:pPr>
              <w:spacing w:after="0"/>
              <w:rPr>
                <w:sz w:val="17"/>
                <w:szCs w:val="17"/>
                <w:color w:val="auto"/>
              </w:rPr>
            </w:pPr>
          </w:p>
        </w:tc>
        <w:tc>
          <w:tcPr>
            <w:tcW w:w="6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6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26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5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592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6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248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6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450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6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Mine Safety Disclosures</w:t>
            </w:r>
          </w:p>
        </w:tc>
        <w:tc>
          <w:tcPr>
            <w:tcW w:w="5080" w:type="dxa"/>
            <w:vAlign w:val="bottom"/>
            <w:gridSpan w:val="1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6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6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60" w:type="dxa"/>
            <w:vAlign w:val="bottom"/>
          </w:tcPr>
          <w:p>
            <w:pPr>
              <w:spacing w:after="0"/>
              <w:rPr>
                <w:sz w:val="17"/>
                <w:szCs w:val="17"/>
                <w:color w:val="auto"/>
              </w:rPr>
            </w:pPr>
          </w:p>
        </w:tc>
        <w:tc>
          <w:tcPr>
            <w:tcW w:w="5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6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550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26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AUTOZONE,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May 9,</w:t>
            </w:r>
          </w:p>
        </w:tc>
        <w:tc>
          <w:tcPr>
            <w:tcW w:w="14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30,</w:t>
            </w:r>
          </w:p>
        </w:tc>
        <w:tc>
          <w:tcPr>
            <w:tcW w:w="0" w:type="dxa"/>
            <w:vAlign w:val="bottom"/>
          </w:tcPr>
          <w:p>
            <w:pPr>
              <w:spacing w:after="0"/>
              <w:rPr>
                <w:sz w:val="1"/>
                <w:szCs w:val="1"/>
                <w:color w:val="auto"/>
              </w:rPr>
            </w:pPr>
          </w:p>
        </w:tc>
      </w:tr>
      <w:tr>
        <w:trPr>
          <w:trHeight w:val="173"/>
        </w:trPr>
        <w:tc>
          <w:tcPr>
            <w:tcW w:w="6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253,729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670,137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Merchandise inventories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7,559,056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7,025,688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356,860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373,751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8,934,569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8,341,379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Property and equipment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13,742,967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12,552,328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(5,945,979)</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(5,489,819)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7,796,988</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7,062,509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3,413,970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3,194,666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132,109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336,182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20,916,463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19,355,324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8,401,277</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8,025,590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336,340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1,226,757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1,151,536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70,939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10,035,313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9,519,397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9,016,477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8,799,775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3,278,354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3,093,936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520,510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887,153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Preferred stock, authorized 1,000 shares; no shares issued</w:t>
            </w:r>
          </w:p>
        </w:tc>
        <w:tc>
          <w:tcPr>
            <w:tcW w:w="16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par value $.01 per share, authorized 200,000 shares; 16,592 shares issued and</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16,369 shares outstanding as of May 9, 2026; 16,927 shares issued and 16,665 shares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outstanding as of August 30, 2025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1,967,484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1,843,779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deficit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(3,750,078)</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(3,975,852)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(137,049)</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Treasury stock, at cost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(865,075)</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(997,399)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(2,784,552)</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(3,414,313)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20,916,463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19,355,324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AUTOZONE,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Thirty-Six Weeks Ended</w:t>
            </w:r>
          </w:p>
        </w:tc>
        <w:tc>
          <w:tcPr>
            <w:tcW w:w="0" w:type="dxa"/>
            <w:vAlign w:val="bottom"/>
          </w:tcPr>
          <w:p>
            <w:pPr>
              <w:spacing w:after="0"/>
              <w:rPr>
                <w:sz w:val="1"/>
                <w:szCs w:val="1"/>
                <w:color w:val="auto"/>
              </w:rPr>
            </w:pPr>
          </w:p>
        </w:tc>
      </w:tr>
      <w:tr>
        <w:trPr>
          <w:trHeight w:val="11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May 9,</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May 10,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May 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May 10,</w:t>
            </w:r>
          </w:p>
        </w:tc>
        <w:tc>
          <w:tcPr>
            <w:tcW w:w="0" w:type="dxa"/>
            <w:vAlign w:val="bottom"/>
          </w:tcPr>
          <w:p>
            <w:pPr>
              <w:spacing w:after="0"/>
              <w:rPr>
                <w:sz w:val="1"/>
                <w:szCs w:val="1"/>
                <w:color w:val="auto"/>
              </w:rPr>
            </w:pPr>
          </w:p>
        </w:tc>
      </w:tr>
      <w:tr>
        <w:trPr>
          <w:trHeight w:val="173"/>
        </w:trPr>
        <w:tc>
          <w:tcPr>
            <w:tcW w:w="41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4,840,950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4,464,339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13,743,677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12,695,991</w:t>
            </w:r>
          </w:p>
        </w:tc>
        <w:tc>
          <w:tcPr>
            <w:tcW w:w="0" w:type="dxa"/>
            <w:vAlign w:val="bottom"/>
          </w:tcPr>
          <w:p>
            <w:pPr>
              <w:spacing w:after="0"/>
              <w:rPr>
                <w:sz w:val="1"/>
                <w:szCs w:val="1"/>
                <w:color w:val="auto"/>
              </w:rPr>
            </w:pPr>
          </w:p>
        </w:tc>
      </w:tr>
      <w:tr>
        <w:trPr>
          <w:trHeight w:val="198"/>
        </w:trPr>
        <w:tc>
          <w:tcPr>
            <w:tcW w:w="4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sales, including warehouse and delivery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2,316,376</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2,110,816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6,616,431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5,946,010</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2,524,574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2,353,523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7,127,246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6,749,981</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selling, general and administrative expenses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1,600,818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1,487,349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4,720,865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4,335,891</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2,414,090</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111,285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323,929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327,736</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2,082,452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2,086,354</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171,775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146,449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441,278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425,057</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641,491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608,440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1,641,174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1,661,297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for basic earnings per share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stock equivalents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for diluted earnings per share</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38.07</w:t>
            </w:r>
          </w:p>
        </w:tc>
        <w:tc>
          <w:tcPr>
            <w:tcW w:w="1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35.36</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96.69</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AUTOZONE,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Thirty-Six Weeks Ended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May 9,</w:t>
            </w:r>
          </w:p>
        </w:tc>
        <w:tc>
          <w:tcPr>
            <w:tcW w:w="320" w:type="dxa"/>
            <w:vAlign w:val="bottom"/>
            <w:gridSpan w:val="2"/>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May 10,</w:t>
            </w:r>
          </w:p>
        </w:tc>
        <w:tc>
          <w:tcPr>
            <w:tcW w:w="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9,</w:t>
            </w:r>
          </w:p>
        </w:tc>
        <w:tc>
          <w:tcPr>
            <w:tcW w:w="380" w:type="dxa"/>
            <w:vAlign w:val="bottom"/>
            <w:gridSpan w:val="2"/>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May 10,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8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641,491</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608,440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1,641,174</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1,661,297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(losses) gains on marketable debt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net of taxes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derivative activities, net of taxes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50,538</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147,961</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662,330</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658,978</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1,789,135</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1,665,864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AUTOZONE,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9019"/>
          </w:cols>
          <w:pgMar w:left="1440" w:top="513" w:right="1440" w:bottom="1440" w:gutter="0" w:footer="0" w:header="0"/>
        </w:sect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360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160"/>
        <w:spacing w:after="0" w:line="260" w:lineRule="auto"/>
        <w:rPr>
          <w:sz w:val="20"/>
          <w:szCs w:val="20"/>
          <w:color w:val="auto"/>
        </w:rPr>
      </w:pPr>
      <w:r>
        <w:rPr>
          <w:rFonts w:ascii="Times New Roman" w:cs="Times New Roman" w:eastAsia="Times New Roman" w:hAnsi="Times New Roman"/>
          <w:sz w:val="18"/>
          <w:szCs w:val="18"/>
          <w:color w:val="auto"/>
        </w:rPr>
        <w:t>Net income $ 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-146685</wp:posOffset>
            </wp:positionV>
            <wp:extent cx="564896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Other non-cash charges (income)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Amortization of debt origination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8"/>
          <w:szCs w:val="18"/>
          <w:color w:val="auto"/>
        </w:rPr>
        <w:t>Merchandise inventories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8"/>
          <w:szCs w:val="18"/>
          <w:color w:val="auto"/>
        </w:rPr>
        <w:t>Income taxes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Purchase of marketable debt securities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Proceeds from sale of marketable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Net investment in tax credit equity investments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proceeds from commercial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Proceeds from issuance of debt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Repayment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Net proceeds from sale of common stock</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Repayment of principal portion of finance lease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tabs>
          <w:tab w:leader="none" w:pos="5940" w:val="left"/>
        </w:tabs>
        <w:rPr>
          <w:sz w:val="20"/>
          <w:szCs w:val="20"/>
          <w:color w:val="auto"/>
        </w:rPr>
      </w:pPr>
      <w:r>
        <w:rPr>
          <w:rFonts w:ascii="Times New Roman" w:cs="Times New Roman" w:eastAsia="Times New Roman" w:hAnsi="Times New Roman"/>
          <w:sz w:val="18"/>
          <w:szCs w:val="18"/>
          <w:color w:val="auto"/>
        </w:rPr>
        <w:t>Cash and cash equivalents at end of period</w:t>
      </w:r>
      <w:r>
        <w:rPr>
          <w:sz w:val="20"/>
          <w:szCs w:val="20"/>
          <w:color w:val="auto"/>
        </w:rPr>
        <w:tab/>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Thirty-Six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7620</wp:posOffset>
            </wp:positionV>
            <wp:extent cx="18948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w w:val="96"/>
              </w:rPr>
              <w:t>May 9,</w:t>
            </w:r>
          </w:p>
        </w:tc>
        <w:tc>
          <w:tcPr>
            <w:tcW w:w="260" w:type="dxa"/>
            <w:vAlign w:val="bottom"/>
          </w:tcPr>
          <w:p>
            <w:pPr>
              <w:spacing w:after="0"/>
              <w:rPr>
                <w:sz w:val="16"/>
                <w:szCs w:val="16"/>
                <w:color w:val="auto"/>
              </w:rPr>
            </w:pPr>
          </w:p>
        </w:tc>
        <w:tc>
          <w:tcPr>
            <w:tcW w:w="118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May 10,</w:t>
            </w:r>
          </w:p>
        </w:tc>
        <w:tc>
          <w:tcPr>
            <w:tcW w:w="0" w:type="dxa"/>
            <w:vAlign w:val="bottom"/>
          </w:tcPr>
          <w:p>
            <w:pPr>
              <w:spacing w:after="0"/>
              <w:rPr>
                <w:sz w:val="1"/>
                <w:szCs w:val="1"/>
                <w:color w:val="auto"/>
              </w:rPr>
            </w:pPr>
          </w:p>
        </w:tc>
      </w:tr>
      <w:tr>
        <w:trPr>
          <w:trHeight w:val="185"/>
        </w:trPr>
        <w:tc>
          <w:tcPr>
            <w:tcW w:w="112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112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rPr>
              <w:t>1,641,174</w:t>
            </w: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1,661,297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0"/>
        </w:trPr>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464,126</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177,000</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16"/>
        </w:trPr>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8,773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(157,734)</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(59,320)</w:t>
            </w:r>
          </w:p>
        </w:tc>
        <w:tc>
          <w:tcPr>
            <w:tcW w:w="0" w:type="dxa"/>
            <w:vAlign w:val="bottom"/>
          </w:tcPr>
          <w:p>
            <w:pPr>
              <w:spacing w:after="0"/>
              <w:rPr>
                <w:sz w:val="1"/>
                <w:szCs w:val="1"/>
                <w:color w:val="auto"/>
              </w:rPr>
            </w:pPr>
          </w:p>
        </w:tc>
      </w:tr>
      <w:tr>
        <w:trPr>
          <w:trHeight w:val="234"/>
        </w:trPr>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97,641</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(86,607)</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(41,820)</w:t>
            </w:r>
          </w:p>
        </w:tc>
        <w:tc>
          <w:tcPr>
            <w:tcW w:w="0" w:type="dxa"/>
            <w:vAlign w:val="bottom"/>
          </w:tcPr>
          <w:p>
            <w:pPr>
              <w:spacing w:after="0"/>
              <w:rPr>
                <w:sz w:val="1"/>
                <w:szCs w:val="1"/>
                <w:color w:val="auto"/>
              </w:rPr>
            </w:pPr>
          </w:p>
        </w:tc>
      </w:tr>
      <w:tr>
        <w:trPr>
          <w:trHeight w:val="216"/>
        </w:trPr>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(656,508)</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(642,317)</w:t>
            </w:r>
          </w:p>
        </w:tc>
        <w:tc>
          <w:tcPr>
            <w:tcW w:w="0" w:type="dxa"/>
            <w:vAlign w:val="bottom"/>
          </w:tcPr>
          <w:p>
            <w:pPr>
              <w:spacing w:after="0"/>
              <w:rPr>
                <w:sz w:val="1"/>
                <w:szCs w:val="1"/>
                <w:color w:val="auto"/>
              </w:rPr>
            </w:pPr>
          </w:p>
        </w:tc>
      </w:tr>
      <w:tr>
        <w:trPr>
          <w:trHeight w:val="216"/>
        </w:trPr>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347,468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206,209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78,045</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2,119,587</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(997,486)</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(885,623)</w:t>
            </w:r>
          </w:p>
        </w:tc>
        <w:tc>
          <w:tcPr>
            <w:tcW w:w="0" w:type="dxa"/>
            <w:vAlign w:val="bottom"/>
          </w:tcPr>
          <w:p>
            <w:pPr>
              <w:spacing w:after="0"/>
              <w:rPr>
                <w:sz w:val="1"/>
                <w:szCs w:val="1"/>
                <w:color w:val="auto"/>
              </w:rPr>
            </w:pPr>
          </w:p>
        </w:tc>
      </w:tr>
      <w:tr>
        <w:trPr>
          <w:trHeight w:val="216"/>
        </w:trPr>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(35,446)</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(54,250)</w:t>
            </w:r>
          </w:p>
        </w:tc>
        <w:tc>
          <w:tcPr>
            <w:tcW w:w="0" w:type="dxa"/>
            <w:vAlign w:val="bottom"/>
          </w:tcPr>
          <w:p>
            <w:pPr>
              <w:spacing w:after="0"/>
              <w:rPr>
                <w:sz w:val="1"/>
                <w:szCs w:val="1"/>
                <w:color w:val="auto"/>
              </w:rPr>
            </w:pPr>
          </w:p>
        </w:tc>
      </w:tr>
      <w:tr>
        <w:trPr>
          <w:trHeight w:val="216"/>
        </w:trPr>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17,672</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(9,216)</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(50,424)</w:t>
            </w:r>
          </w:p>
        </w:tc>
        <w:tc>
          <w:tcPr>
            <w:tcW w:w="0" w:type="dxa"/>
            <w:vAlign w:val="bottom"/>
          </w:tcPr>
          <w:p>
            <w:pPr>
              <w:spacing w:after="0"/>
              <w:rPr>
                <w:sz w:val="1"/>
                <w:szCs w:val="1"/>
                <w:color w:val="auto"/>
              </w:rPr>
            </w:pPr>
          </w:p>
        </w:tc>
      </w:tr>
      <w:tr>
        <w:trPr>
          <w:trHeight w:val="234"/>
        </w:trPr>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11,388</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(1,013,088)</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12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rPr>
              <w:t>609,400</w:t>
            </w:r>
          </w:p>
        </w:tc>
        <w:tc>
          <w:tcPr>
            <w:tcW w:w="26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225,500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-419735</wp:posOffset>
            </wp:positionV>
            <wp:extent cx="866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-1533525</wp:posOffset>
            </wp:positionV>
            <wp:extent cx="8661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-3874135</wp:posOffset>
            </wp:positionV>
            <wp:extent cx="8661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—500,000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(400,000)</w:t>
      </w:r>
      <w:r>
        <w:rPr>
          <w:rFonts w:ascii="Times New Roman" w:cs="Times New Roman" w:eastAsia="Times New Roman" w:hAnsi="Times New Roman"/>
          <w:sz w:val="17"/>
          <w:szCs w:val="17"/>
          <w:color w:val="auto"/>
        </w:rPr>
        <w:t>(900,000)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67,741</w:t>
      </w:r>
      <w:r>
        <w:rPr>
          <w:rFonts w:ascii="Times New Roman" w:cs="Times New Roman" w:eastAsia="Times New Roman" w:hAnsi="Times New Roman"/>
          <w:sz w:val="17"/>
          <w:szCs w:val="17"/>
          <w:color w:val="auto"/>
        </w:rPr>
        <w:t>111,008</w:t>
      </w:r>
    </w:p>
    <w:p>
      <w:pPr>
        <w:spacing w:after="0" w:line="9"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18"/>
          <w:szCs w:val="18"/>
          <w:color w:val="auto"/>
        </w:rPr>
        <w:t>(1,322,357)</w:t>
      </w:r>
      <w:r>
        <w:rPr>
          <w:sz w:val="20"/>
          <w:szCs w:val="20"/>
          <w:color w:val="auto"/>
        </w:rPr>
        <w:tab/>
      </w:r>
      <w:r>
        <w:rPr>
          <w:rFonts w:ascii="Times New Roman" w:cs="Times New Roman" w:eastAsia="Times New Roman" w:hAnsi="Times New Roman"/>
          <w:sz w:val="18"/>
          <w:szCs w:val="18"/>
          <w:color w:val="auto"/>
        </w:rPr>
        <w:t>(1,135,260)</w:t>
      </w:r>
    </w:p>
    <w:p>
      <w:pPr>
        <w:spacing w:after="0" w:line="9" w:lineRule="exact"/>
        <w:rPr>
          <w:sz w:val="20"/>
          <w:szCs w:val="20"/>
          <w:color w:val="auto"/>
        </w:rPr>
      </w:pPr>
    </w:p>
    <w:p>
      <w:pPr>
        <w:ind w:left="280"/>
        <w:spacing w:after="0"/>
        <w:tabs>
          <w:tab w:leader="none" w:pos="1880" w:val="left"/>
        </w:tabs>
        <w:rPr>
          <w:sz w:val="20"/>
          <w:szCs w:val="20"/>
          <w:color w:val="auto"/>
        </w:rPr>
      </w:pPr>
      <w:r>
        <w:rPr>
          <w:rFonts w:ascii="Times New Roman" w:cs="Times New Roman" w:eastAsia="Times New Roman" w:hAnsi="Times New Roman"/>
          <w:sz w:val="18"/>
          <w:szCs w:val="18"/>
          <w:color w:val="auto"/>
        </w:rPr>
        <w:t>(82,161)</w:t>
      </w:r>
      <w:r>
        <w:rPr>
          <w:sz w:val="20"/>
          <w:szCs w:val="20"/>
          <w:color w:val="auto"/>
        </w:rPr>
        <w:tab/>
      </w:r>
      <w:r>
        <w:rPr>
          <w:rFonts w:ascii="Times New Roman" w:cs="Times New Roman" w:eastAsia="Times New Roman" w:hAnsi="Times New Roman"/>
          <w:sz w:val="18"/>
          <w:szCs w:val="18"/>
          <w:color w:val="auto"/>
        </w:rPr>
        <w:t>(74,096)</w:t>
      </w:r>
    </w:p>
    <w:p>
      <w:pPr>
        <w:spacing w:after="0" w:line="9" w:lineRule="exact"/>
        <w:rPr>
          <w:sz w:val="20"/>
          <w:szCs w:val="20"/>
          <w:color w:val="auto"/>
        </w:rPr>
      </w:pPr>
    </w:p>
    <w:p>
      <w:pPr>
        <w:ind w:left="360"/>
        <w:spacing w:after="0"/>
        <w:tabs>
          <w:tab w:leader="none" w:pos="1960" w:val="left"/>
        </w:tabs>
        <w:rPr>
          <w:sz w:val="20"/>
          <w:szCs w:val="20"/>
          <w:color w:val="auto"/>
        </w:rPr>
      </w:pPr>
      <w:r>
        <w:rPr>
          <w:rFonts w:ascii="Times New Roman" w:cs="Times New Roman" w:eastAsia="Times New Roman" w:hAnsi="Times New Roman"/>
          <w:sz w:val="18"/>
          <w:szCs w:val="18"/>
          <w:color w:val="auto"/>
        </w:rPr>
        <w:t>(3,180)</w:t>
      </w:r>
      <w:r>
        <w:rPr>
          <w:sz w:val="20"/>
          <w:szCs w:val="20"/>
          <w:color w:val="auto"/>
        </w:rPr>
        <w:tab/>
      </w:r>
      <w:r>
        <w:rPr>
          <w:rFonts w:ascii="Times New Roman" w:cs="Times New Roman" w:eastAsia="Times New Roman" w:hAnsi="Times New Roman"/>
          <w:sz w:val="18"/>
          <w:szCs w:val="18"/>
          <w:color w:val="auto"/>
        </w:rPr>
        <w:t>(4,927)</w:t>
      </w:r>
    </w:p>
    <w:p>
      <w:pPr>
        <w:spacing w:after="0" w:line="9"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18"/>
          <w:szCs w:val="18"/>
          <w:color w:val="auto"/>
        </w:rPr>
        <w:t>(1,130,557)</w:t>
      </w:r>
      <w:r>
        <w:rPr>
          <w:sz w:val="20"/>
          <w:szCs w:val="20"/>
          <w:color w:val="auto"/>
        </w:rPr>
        <w:tab/>
      </w:r>
      <w:r>
        <w:rPr>
          <w:rFonts w:ascii="Times New Roman" w:cs="Times New Roman" w:eastAsia="Times New Roman" w:hAnsi="Times New Roman"/>
          <w:sz w:val="18"/>
          <w:szCs w:val="18"/>
          <w:color w:val="auto"/>
        </w:rPr>
        <w:t>(1,277,775)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14605</wp:posOffset>
            </wp:positionV>
            <wp:extent cx="18948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spacing w:after="0" w:line="214"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5,984</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407"/>
        </w:trPr>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(18,074)</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(29,547)</w:t>
            </w:r>
          </w:p>
        </w:tc>
      </w:tr>
      <w:tr>
        <w:trPr>
          <w:trHeight w:val="234"/>
        </w:trPr>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271,803</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298,172</w:t>
            </w:r>
          </w:p>
        </w:tc>
      </w:tr>
      <w:tr>
        <w:trPr>
          <w:trHeight w:val="209"/>
        </w:trPr>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253,729</w:t>
            </w: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268,625</w:t>
            </w:r>
          </w:p>
        </w:tc>
      </w:tr>
      <w:tr>
        <w:trPr>
          <w:trHeight w:val="20"/>
        </w:trPr>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-8255</wp:posOffset>
            </wp:positionV>
            <wp:extent cx="8661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-590550</wp:posOffset>
            </wp:positionV>
            <wp:extent cx="8661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479" w:lineRule="exact"/>
        <w:rPr>
          <w:sz w:val="20"/>
          <w:szCs w:val="20"/>
          <w:color w:val="auto"/>
        </w:rPr>
      </w:pPr>
    </w:p>
    <w:p>
      <w:pPr>
        <w:sectPr>
          <w:pgSz w:w="11900" w:h="16838" w:orient="portrait"/>
          <w:cols w:equalWidth="0" w:num="2">
            <w:col w:w="6060" w:space="380"/>
            <w:col w:w="257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AUTOZONE,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DEFICIT</w:t>
      </w: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18"/>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Twelve Weeks Ended May 9, 2026</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5"/>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6"/>
          </w:tcPr>
          <w:p>
            <w:pPr>
              <w:ind w:left="40"/>
              <w:spacing w:after="0" w:line="135"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p>
        </w:tc>
        <w:tc>
          <w:tcPr>
            <w:tcW w:w="640" w:type="dxa"/>
            <w:vAlign w:val="bottom"/>
            <w:gridSpan w:val="7"/>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840" w:type="dxa"/>
            <w:vAlign w:val="bottom"/>
            <w:gridSpan w:val="5"/>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  Paid-in</w:t>
            </w:r>
          </w:p>
        </w:tc>
        <w:tc>
          <w:tcPr>
            <w:tcW w:w="40" w:type="dxa"/>
            <w:vAlign w:val="bottom"/>
          </w:tcPr>
          <w:p>
            <w:pPr>
              <w:spacing w:after="0"/>
              <w:rPr>
                <w:sz w:val="11"/>
                <w:szCs w:val="11"/>
                <w:color w:val="auto"/>
              </w:rPr>
            </w:pPr>
          </w:p>
        </w:tc>
        <w:tc>
          <w:tcPr>
            <w:tcW w:w="180" w:type="dxa"/>
            <w:vAlign w:val="bottom"/>
            <w:gridSpan w:val="4"/>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8"/>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94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Issued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9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 at February 14, 2026</w:t>
            </w:r>
          </w:p>
        </w:tc>
        <w:tc>
          <w:tcPr>
            <w:tcW w:w="62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$ 1,919,290</w:t>
            </w:r>
          </w:p>
        </w:tc>
        <w:tc>
          <w:tcPr>
            <w:tcW w:w="40" w:type="dxa"/>
            <w:vAlign w:val="bottom"/>
            <w:shd w:val="clear" w:color="auto" w:fill="CCEEFF"/>
          </w:tcPr>
          <w:p>
            <w:pPr>
              <w:spacing w:after="0"/>
              <w:rPr>
                <w:sz w:val="12"/>
                <w:szCs w:val="12"/>
                <w:color w:val="auto"/>
              </w:rPr>
            </w:pPr>
          </w:p>
        </w:tc>
        <w:tc>
          <w:tcPr>
            <w:tcW w:w="960" w:type="dxa"/>
            <w:vAlign w:val="bottom"/>
            <w:gridSpan w:val="8"/>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 (4,391,569)</w:t>
            </w:r>
          </w:p>
        </w:tc>
        <w:tc>
          <w:tcPr>
            <w:tcW w:w="280" w:type="dxa"/>
            <w:vAlign w:val="bottom"/>
            <w:gridSpan w:val="4"/>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(157,888)</w:t>
            </w:r>
          </w:p>
        </w:tc>
        <w:tc>
          <w:tcPr>
            <w:tcW w:w="20" w:type="dxa"/>
            <w:vAlign w:val="bottom"/>
            <w:shd w:val="clear" w:color="auto" w:fill="CCEEFF"/>
          </w:tcPr>
          <w:p>
            <w:pPr>
              <w:spacing w:after="0"/>
              <w:rPr>
                <w:sz w:val="12"/>
                <w:szCs w:val="12"/>
                <w:color w:val="auto"/>
              </w:rPr>
            </w:pPr>
          </w:p>
        </w:tc>
        <w:tc>
          <w:tcPr>
            <w:tcW w:w="820" w:type="dxa"/>
            <w:vAlign w:val="bottom"/>
            <w:gridSpan w:val="6"/>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 (278,769)</w:t>
            </w:r>
          </w:p>
        </w:tc>
        <w:tc>
          <w:tcPr>
            <w:tcW w:w="4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(2,908,770)</w:t>
            </w: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641,491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641,491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20,839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20,839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164 shares of treasury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(586,306)</w:t>
            </w:r>
          </w:p>
        </w:tc>
        <w:tc>
          <w:tcPr>
            <w:tcW w:w="4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(586,306)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 options and</w:t>
            </w:r>
          </w:p>
        </w:tc>
        <w:tc>
          <w:tcPr>
            <w:tcW w:w="62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16,278</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plans</w:t>
            </w:r>
          </w:p>
        </w:tc>
        <w:tc>
          <w:tcPr>
            <w:tcW w:w="620" w:type="dxa"/>
            <w:vAlign w:val="bottom"/>
            <w:gridSpan w:val="5"/>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3"/>
            <w:vMerge w:val="continue"/>
            <w:shd w:val="clear" w:color="auto" w:fill="CCEEFF"/>
          </w:tcPr>
          <w:p>
            <w:pPr>
              <w:spacing w:after="0"/>
              <w:rPr>
                <w:sz w:val="14"/>
                <w:szCs w:val="14"/>
                <w:color w:val="auto"/>
              </w:rPr>
            </w:pPr>
          </w:p>
        </w:tc>
        <w:tc>
          <w:tcPr>
            <w:tcW w:w="800" w:type="dxa"/>
            <w:vAlign w:val="bottom"/>
            <w:gridSpan w:val="4"/>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4"/>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860" w:type="dxa"/>
            <w:vAlign w:val="bottom"/>
            <w:gridSpan w:val="4"/>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31,916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31,916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May 9, 2026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16,592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166</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$ 1,967,484</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(3,750,078)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(137,049)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(865,075)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(2,784,552)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8"/>
          </w:tcPr>
          <w:p>
            <w:pPr>
              <w:jc w:val="center"/>
              <w:ind w:left="392"/>
              <w:spacing w:after="0"/>
              <w:rPr>
                <w:sz w:val="20"/>
                <w:szCs w:val="20"/>
                <w:color w:val="auto"/>
              </w:rPr>
            </w:pPr>
            <w:r>
              <w:rPr>
                <w:rFonts w:ascii="Times New Roman" w:cs="Times New Roman" w:eastAsia="Times New Roman" w:hAnsi="Times New Roman"/>
                <w:sz w:val="13"/>
                <w:szCs w:val="13"/>
                <w:b w:val="1"/>
                <w:bCs w:val="1"/>
                <w:color w:val="auto"/>
                <w:w w:val="95"/>
              </w:rPr>
              <w:t>Twelve Weeks Ended May 10, 2025</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5"/>
          </w:tcPr>
          <w:p>
            <w:pPr>
              <w:jc w:val="right"/>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4"/>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6"/>
          </w:tcPr>
          <w:p>
            <w:pPr>
              <w:jc w:val="center"/>
              <w:spacing w:after="0" w:line="135"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1"/>
                <w:szCs w:val="11"/>
                <w:color w:val="auto"/>
              </w:rPr>
            </w:pPr>
          </w:p>
        </w:tc>
        <w:tc>
          <w:tcPr>
            <w:tcW w:w="580" w:type="dxa"/>
            <w:vAlign w:val="bottom"/>
            <w:gridSpan w:val="6"/>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60" w:type="dxa"/>
            <w:vAlign w:val="bottom"/>
          </w:tcPr>
          <w:p>
            <w:pPr>
              <w:spacing w:after="0"/>
              <w:rPr>
                <w:sz w:val="11"/>
                <w:szCs w:val="11"/>
                <w:color w:val="auto"/>
              </w:rPr>
            </w:pPr>
          </w:p>
        </w:tc>
        <w:tc>
          <w:tcPr>
            <w:tcW w:w="780" w:type="dxa"/>
            <w:vAlign w:val="bottom"/>
            <w:gridSpan w:val="4"/>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  Paid-in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1"/>
                <w:szCs w:val="11"/>
                <w:color w:val="auto"/>
              </w:rPr>
            </w:pPr>
          </w:p>
        </w:tc>
        <w:tc>
          <w:tcPr>
            <w:tcW w:w="92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11"/>
                <w:szCs w:val="11"/>
                <w:color w:val="auto"/>
              </w:rPr>
            </w:pPr>
          </w:p>
        </w:tc>
        <w:tc>
          <w:tcPr>
            <w:tcW w:w="1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940" w:type="dxa"/>
            <w:vAlign w:val="bottom"/>
            <w:gridSpan w:val="7"/>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Issued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9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 at February 15, 2025</w:t>
            </w:r>
          </w:p>
        </w:tc>
        <w:tc>
          <w:tcPr>
            <w:tcW w:w="640" w:type="dxa"/>
            <w:vAlign w:val="bottom"/>
            <w:gridSpan w:val="6"/>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16,822</w:t>
            </w:r>
          </w:p>
        </w:tc>
        <w:tc>
          <w:tcPr>
            <w:tcW w:w="40" w:type="dxa"/>
            <w:vAlign w:val="bottom"/>
            <w:shd w:val="clear" w:color="auto" w:fill="CCEEFF"/>
          </w:tcPr>
          <w:p>
            <w:pPr>
              <w:spacing w:after="0"/>
              <w:rPr>
                <w:sz w:val="12"/>
                <w:szCs w:val="12"/>
                <w:color w:val="auto"/>
              </w:rPr>
            </w:pPr>
          </w:p>
        </w:tc>
        <w:tc>
          <w:tcPr>
            <w:tcW w:w="22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40" w:type="dxa"/>
            <w:vAlign w:val="bottom"/>
            <w:shd w:val="clear" w:color="auto" w:fill="CCEEFF"/>
          </w:tcPr>
          <w:p>
            <w:pPr>
              <w:spacing w:after="0"/>
              <w:rPr>
                <w:sz w:val="12"/>
                <w:szCs w:val="12"/>
                <w:color w:val="auto"/>
              </w:rPr>
            </w:pPr>
          </w:p>
        </w:tc>
        <w:tc>
          <w:tcPr>
            <w:tcW w:w="84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$ 1,671,200</w:t>
            </w:r>
          </w:p>
        </w:tc>
        <w:tc>
          <w:tcPr>
            <w:tcW w:w="960" w:type="dxa"/>
            <w:vAlign w:val="bottom"/>
            <w:gridSpan w:val="8"/>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(5,421,243)</w:t>
            </w:r>
          </w:p>
        </w:tc>
        <w:tc>
          <w:tcPr>
            <w:tcW w:w="28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(407,589)</w:t>
            </w:r>
          </w:p>
        </w:tc>
        <w:tc>
          <w:tcPr>
            <w:tcW w:w="860" w:type="dxa"/>
            <w:vAlign w:val="bottom"/>
            <w:gridSpan w:val="7"/>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 (300,309)</w:t>
            </w:r>
          </w:p>
        </w:tc>
        <w:tc>
          <w:tcPr>
            <w:tcW w:w="88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(4,457,773)</w:t>
            </w: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608,440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608,440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50,538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50,538</w:t>
            </w:r>
          </w:p>
        </w:tc>
        <w:tc>
          <w:tcPr>
            <w:tcW w:w="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70 shares of treasury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(250,348)</w:t>
            </w:r>
          </w:p>
        </w:tc>
        <w:tc>
          <w:tcPr>
            <w:tcW w:w="88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(250,348)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 options and</w:t>
            </w:r>
          </w:p>
        </w:tc>
        <w:tc>
          <w:tcPr>
            <w:tcW w:w="64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0"/>
                <w:szCs w:val="10"/>
                <w:color w:val="auto"/>
              </w:rPr>
            </w:pPr>
          </w:p>
        </w:tc>
        <w:tc>
          <w:tcPr>
            <w:tcW w:w="84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46,706</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46,707</w:t>
            </w:r>
          </w:p>
        </w:tc>
        <w:tc>
          <w:tcPr>
            <w:tcW w:w="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plans</w:t>
            </w:r>
          </w:p>
        </w:tc>
        <w:tc>
          <w:tcPr>
            <w:tcW w:w="640" w:type="dxa"/>
            <w:vAlign w:val="bottom"/>
            <w:gridSpan w:val="6"/>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5"/>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4"/>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86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28,031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28,031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May 10, 2025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16,869</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$ 1,745,937</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(4,812,803)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(357,051)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(550,657)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(3,974,405)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8"/>
          </w:tcPr>
          <w:p>
            <w:pPr>
              <w:jc w:val="center"/>
              <w:ind w:left="372"/>
              <w:spacing w:after="0"/>
              <w:rPr>
                <w:sz w:val="20"/>
                <w:szCs w:val="20"/>
                <w:color w:val="auto"/>
              </w:rPr>
            </w:pPr>
            <w:r>
              <w:rPr>
                <w:rFonts w:ascii="Times New Roman" w:cs="Times New Roman" w:eastAsia="Times New Roman" w:hAnsi="Times New Roman"/>
                <w:sz w:val="13"/>
                <w:szCs w:val="13"/>
                <w:b w:val="1"/>
                <w:bCs w:val="1"/>
                <w:color w:val="auto"/>
                <w:w w:val="97"/>
              </w:rPr>
              <w:t>Thirty-Six Weeks Ended May 9, 2026</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5"/>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5"/>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7"/>
          </w:tcPr>
          <w:p>
            <w:pPr>
              <w:ind w:left="40"/>
              <w:spacing w:after="0" w:line="135"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p>
        </w:tc>
        <w:tc>
          <w:tcPr>
            <w:tcW w:w="64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840" w:type="dxa"/>
            <w:vAlign w:val="bottom"/>
            <w:gridSpan w:val="5"/>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  Paid-in</w:t>
            </w:r>
          </w:p>
        </w:tc>
        <w:tc>
          <w:tcPr>
            <w:tcW w:w="40" w:type="dxa"/>
            <w:vAlign w:val="bottom"/>
          </w:tcPr>
          <w:p>
            <w:pPr>
              <w:spacing w:after="0"/>
              <w:rPr>
                <w:sz w:val="11"/>
                <w:szCs w:val="11"/>
                <w:color w:val="auto"/>
              </w:rPr>
            </w:pPr>
          </w:p>
        </w:tc>
        <w:tc>
          <w:tcPr>
            <w:tcW w:w="18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000" w:type="dxa"/>
            <w:vAlign w:val="bottom"/>
            <w:gridSpan w:val="8"/>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gridSpan w:val="4"/>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60" w:type="dxa"/>
            <w:vAlign w:val="bottom"/>
          </w:tcPr>
          <w:p>
            <w:pPr>
              <w:spacing w:after="0"/>
              <w:rPr>
                <w:sz w:val="11"/>
                <w:szCs w:val="11"/>
                <w:color w:val="auto"/>
              </w:rPr>
            </w:pPr>
          </w:p>
        </w:tc>
        <w:tc>
          <w:tcPr>
            <w:tcW w:w="880" w:type="dxa"/>
            <w:vAlign w:val="bottom"/>
            <w:gridSpan w:val="6"/>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Issued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 at August 30, 2025</w:t>
            </w:r>
          </w:p>
        </w:tc>
        <w:tc>
          <w:tcPr>
            <w:tcW w:w="62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gridSpan w:val="4"/>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$ 1,843,779</w:t>
            </w:r>
          </w:p>
        </w:tc>
        <w:tc>
          <w:tcPr>
            <w:tcW w:w="40" w:type="dxa"/>
            <w:vAlign w:val="bottom"/>
            <w:shd w:val="clear" w:color="auto" w:fill="CCEEFF"/>
          </w:tcPr>
          <w:p>
            <w:pPr>
              <w:spacing w:after="0"/>
              <w:rPr>
                <w:sz w:val="12"/>
                <w:szCs w:val="12"/>
                <w:color w:val="auto"/>
              </w:rPr>
            </w:pPr>
          </w:p>
        </w:tc>
        <w:tc>
          <w:tcPr>
            <w:tcW w:w="940" w:type="dxa"/>
            <w:vAlign w:val="bottom"/>
            <w:gridSpan w:val="7"/>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 (3,975,852)</w:t>
            </w:r>
          </w:p>
        </w:tc>
        <w:tc>
          <w:tcPr>
            <w:tcW w:w="20" w:type="dxa"/>
            <w:vAlign w:val="bottom"/>
            <w:shd w:val="clear" w:color="auto" w:fill="CCEEFF"/>
          </w:tcPr>
          <w:p>
            <w:pPr>
              <w:spacing w:after="0"/>
              <w:rPr>
                <w:sz w:val="12"/>
                <w:szCs w:val="12"/>
                <w:color w:val="auto"/>
              </w:rPr>
            </w:pPr>
          </w:p>
        </w:tc>
        <w:tc>
          <w:tcPr>
            <w:tcW w:w="280" w:type="dxa"/>
            <w:vAlign w:val="bottom"/>
            <w:gridSpan w:val="4"/>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(285,010)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(997,399)</w:t>
            </w:r>
          </w:p>
        </w:tc>
        <w:tc>
          <w:tcPr>
            <w:tcW w:w="920" w:type="dxa"/>
            <w:vAlign w:val="bottom"/>
            <w:gridSpan w:val="6"/>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(3,414,313)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1,641,174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1,641,174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147,961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147,961</w:t>
            </w:r>
          </w:p>
        </w:tc>
        <w:tc>
          <w:tcPr>
            <w:tcW w:w="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 of treasury shares</w:t>
            </w:r>
          </w:p>
        </w:tc>
        <w:tc>
          <w:tcPr>
            <w:tcW w:w="640" w:type="dxa"/>
            <w:vAlign w:val="bottom"/>
            <w:gridSpan w:val="6"/>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840" w:type="dxa"/>
            <w:vAlign w:val="bottom"/>
            <w:gridSpan w:val="5"/>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(45,067)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(1,415,400)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1,460,471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356 shares of treasury stock</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(1,328,147)</w:t>
            </w:r>
          </w:p>
        </w:tc>
        <w:tc>
          <w:tcPr>
            <w:tcW w:w="920" w:type="dxa"/>
            <w:vAlign w:val="bottom"/>
            <w:gridSpan w:val="6"/>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 options and</w:t>
            </w:r>
          </w:p>
        </w:tc>
        <w:tc>
          <w:tcPr>
            <w:tcW w:w="6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67,740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67,741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purchase plans</w:t>
            </w:r>
          </w:p>
        </w:tc>
        <w:tc>
          <w:tcPr>
            <w:tcW w:w="6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101,032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101,032</w:t>
            </w:r>
          </w:p>
        </w:tc>
        <w:tc>
          <w:tcPr>
            <w:tcW w:w="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May 9, 2026</w:t>
            </w:r>
          </w:p>
        </w:tc>
        <w:tc>
          <w:tcPr>
            <w:tcW w:w="120" w:type="dxa"/>
            <w:vAlign w:val="bottom"/>
            <w:gridSpan w:val="2"/>
          </w:tcPr>
          <w:p>
            <w:pPr>
              <w:spacing w:after="0"/>
              <w:rPr>
                <w:sz w:val="12"/>
                <w:szCs w:val="12"/>
                <w:color w:val="auto"/>
              </w:rPr>
            </w:pPr>
          </w:p>
        </w:tc>
        <w:tc>
          <w:tcPr>
            <w:tcW w:w="5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16,592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$ 1,967,484</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 (3,750,078)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(137,049)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(865,075)</w:t>
            </w:r>
          </w:p>
        </w:tc>
        <w:tc>
          <w:tcPr>
            <w:tcW w:w="120" w:type="dxa"/>
            <w:vAlign w:val="bottom"/>
            <w:gridSpan w:val="3"/>
          </w:tcPr>
          <w:p>
            <w:pPr>
              <w:spacing w:after="0"/>
              <w:rPr>
                <w:sz w:val="12"/>
                <w:szCs w:val="12"/>
                <w:color w:val="auto"/>
              </w:rPr>
            </w:pPr>
          </w:p>
        </w:tc>
        <w:tc>
          <w:tcPr>
            <w:tcW w:w="8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(2,784,552)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40" w:type="dxa"/>
            <w:vAlign w:val="bottom"/>
            <w:tcBorders>
              <w:bottom w:val="single" w:sz="8" w:color="auto"/>
            </w:tcBorders>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8"/>
          </w:tcPr>
          <w:p>
            <w:pPr>
              <w:jc w:val="center"/>
              <w:ind w:left="372"/>
              <w:spacing w:after="0"/>
              <w:rPr>
                <w:sz w:val="20"/>
                <w:szCs w:val="20"/>
                <w:color w:val="auto"/>
              </w:rPr>
            </w:pPr>
            <w:r>
              <w:rPr>
                <w:rFonts w:ascii="Times New Roman" w:cs="Times New Roman" w:eastAsia="Times New Roman" w:hAnsi="Times New Roman"/>
                <w:sz w:val="13"/>
                <w:szCs w:val="13"/>
                <w:b w:val="1"/>
                <w:bCs w:val="1"/>
                <w:color w:val="auto"/>
                <w:w w:val="96"/>
              </w:rPr>
              <w:t>Thirty-Six Weeks Ended May 10, 2025</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5"/>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5"/>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7"/>
          </w:tcPr>
          <w:p>
            <w:pPr>
              <w:ind w:left="40"/>
              <w:spacing w:after="0" w:line="135"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p>
        </w:tc>
        <w:tc>
          <w:tcPr>
            <w:tcW w:w="640" w:type="dxa"/>
            <w:vAlign w:val="bottom"/>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840" w:type="dxa"/>
            <w:vAlign w:val="bottom"/>
            <w:gridSpan w:val="5"/>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  Paid-in</w:t>
            </w:r>
          </w:p>
        </w:tc>
        <w:tc>
          <w:tcPr>
            <w:tcW w:w="40" w:type="dxa"/>
            <w:vAlign w:val="bottom"/>
          </w:tcPr>
          <w:p>
            <w:pPr>
              <w:spacing w:after="0"/>
              <w:rPr>
                <w:sz w:val="11"/>
                <w:szCs w:val="11"/>
                <w:color w:val="auto"/>
              </w:rPr>
            </w:pPr>
          </w:p>
        </w:tc>
        <w:tc>
          <w:tcPr>
            <w:tcW w:w="18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000" w:type="dxa"/>
            <w:vAlign w:val="bottom"/>
            <w:gridSpan w:val="8"/>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gridSpan w:val="4"/>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60" w:type="dxa"/>
            <w:vAlign w:val="bottom"/>
          </w:tcPr>
          <w:p>
            <w:pPr>
              <w:spacing w:after="0"/>
              <w:rPr>
                <w:sz w:val="11"/>
                <w:szCs w:val="11"/>
                <w:color w:val="auto"/>
              </w:rPr>
            </w:pPr>
          </w:p>
        </w:tc>
        <w:tc>
          <w:tcPr>
            <w:tcW w:w="880" w:type="dxa"/>
            <w:vAlign w:val="bottom"/>
            <w:gridSpan w:val="6"/>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Issued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 at August 31, 2024</w:t>
            </w:r>
          </w:p>
        </w:tc>
        <w:tc>
          <w:tcPr>
            <w:tcW w:w="62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gridSpan w:val="4"/>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$ 1,621,553</w:t>
            </w:r>
          </w:p>
        </w:tc>
        <w:tc>
          <w:tcPr>
            <w:tcW w:w="40" w:type="dxa"/>
            <w:vAlign w:val="bottom"/>
            <w:shd w:val="clear" w:color="auto" w:fill="CCEEFF"/>
          </w:tcPr>
          <w:p>
            <w:pPr>
              <w:spacing w:after="0"/>
              <w:rPr>
                <w:sz w:val="12"/>
                <w:szCs w:val="12"/>
                <w:color w:val="auto"/>
              </w:rPr>
            </w:pPr>
          </w:p>
        </w:tc>
        <w:tc>
          <w:tcPr>
            <w:tcW w:w="940" w:type="dxa"/>
            <w:vAlign w:val="bottom"/>
            <w:gridSpan w:val="7"/>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 (4,424,982)</w:t>
            </w:r>
          </w:p>
        </w:tc>
        <w:tc>
          <w:tcPr>
            <w:tcW w:w="20" w:type="dxa"/>
            <w:vAlign w:val="bottom"/>
            <w:shd w:val="clear" w:color="auto" w:fill="CCEEFF"/>
          </w:tcPr>
          <w:p>
            <w:pPr>
              <w:spacing w:after="0"/>
              <w:rPr>
                <w:sz w:val="12"/>
                <w:szCs w:val="12"/>
                <w:color w:val="auto"/>
              </w:rPr>
            </w:pPr>
          </w:p>
        </w:tc>
        <w:tc>
          <w:tcPr>
            <w:tcW w:w="280" w:type="dxa"/>
            <w:vAlign w:val="bottom"/>
            <w:gridSpan w:val="4"/>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(361,618)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7"/>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(1,584,742)</w:t>
            </w:r>
          </w:p>
        </w:tc>
        <w:tc>
          <w:tcPr>
            <w:tcW w:w="920" w:type="dxa"/>
            <w:vAlign w:val="bottom"/>
            <w:gridSpan w:val="6"/>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(4,749,614)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1,661,297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1,661,297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4,567</w:t>
            </w:r>
          </w:p>
        </w:tc>
        <w:tc>
          <w:tcPr>
            <w:tcW w:w="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 of treasury shares</w:t>
            </w:r>
          </w:p>
        </w:tc>
        <w:tc>
          <w:tcPr>
            <w:tcW w:w="640" w:type="dxa"/>
            <w:vAlign w:val="bottom"/>
            <w:gridSpan w:val="6"/>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2"/>
                <w:szCs w:val="12"/>
                <w:color w:val="auto"/>
              </w:rPr>
            </w:pPr>
          </w:p>
        </w:tc>
        <w:tc>
          <w:tcPr>
            <w:tcW w:w="840" w:type="dxa"/>
            <w:vAlign w:val="bottom"/>
            <w:gridSpan w:val="5"/>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(69,877)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(2,049,118)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2,119,002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330 shares of treasury stock</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(1,084,917)</w:t>
            </w:r>
          </w:p>
        </w:tc>
        <w:tc>
          <w:tcPr>
            <w:tcW w:w="920" w:type="dxa"/>
            <w:vAlign w:val="bottom"/>
            <w:gridSpan w:val="6"/>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(1,084,917)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stock options and</w:t>
            </w:r>
          </w:p>
        </w:tc>
        <w:tc>
          <w:tcPr>
            <w:tcW w:w="6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111,007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111,008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purchase plans</w:t>
            </w:r>
          </w:p>
        </w:tc>
        <w:tc>
          <w:tcPr>
            <w:tcW w:w="6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83,254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83,254</w:t>
            </w:r>
          </w:p>
        </w:tc>
        <w:tc>
          <w:tcPr>
            <w:tcW w:w="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May 10, 2025</w:t>
            </w:r>
          </w:p>
        </w:tc>
        <w:tc>
          <w:tcPr>
            <w:tcW w:w="120" w:type="dxa"/>
            <w:vAlign w:val="bottom"/>
            <w:gridSpan w:val="2"/>
          </w:tcPr>
          <w:p>
            <w:pPr>
              <w:spacing w:after="0"/>
              <w:rPr>
                <w:sz w:val="12"/>
                <w:szCs w:val="12"/>
                <w:color w:val="auto"/>
              </w:rPr>
            </w:pPr>
          </w:p>
        </w:tc>
        <w:tc>
          <w:tcPr>
            <w:tcW w:w="5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16,869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$ 1,745,937</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 (4,812,803)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(357,051)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(550,657)</w:t>
            </w:r>
          </w:p>
        </w:tc>
        <w:tc>
          <w:tcPr>
            <w:tcW w:w="120" w:type="dxa"/>
            <w:vAlign w:val="bottom"/>
            <w:gridSpan w:val="3"/>
          </w:tcPr>
          <w:p>
            <w:pPr>
              <w:spacing w:after="0"/>
              <w:rPr>
                <w:sz w:val="12"/>
                <w:szCs w:val="12"/>
                <w:color w:val="auto"/>
              </w:rPr>
            </w:pPr>
          </w:p>
        </w:tc>
        <w:tc>
          <w:tcPr>
            <w:tcW w:w="8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(3,974,405)</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AUTOZONE,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General</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United States (“U.S.”) generally accepted accounting principles (“U.S. GAAP”) for interim financial information and are presented in accordance with the requirements of Form 10-Q and Article 10 of Regulation S-X of the Securities and Exchange Commission’s (the “SEC”) rules and regulations. Accordingly, they do not include all of the information and footnotes required by U.S. GAAP for complete financial statements. In the opinion of management, all adjustments, including normal recurring accruals, considered necessary for a fair presentation have been included. For further information, refer to the consolidated financial statements and related notes included in the AutoZone, Inc. (“AutoZone” or the “Company”) Annual Report on Form 10-K for the year ended August 30, 2025.</w:t>
      </w:r>
    </w:p>
    <w:p>
      <w:pPr>
        <w:spacing w:after="0" w:line="192"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8"/>
          <w:szCs w:val="18"/>
          <w:color w:val="auto"/>
        </w:rPr>
        <w:t>Operating results for the twelve and thirty-six weeks ended May 9, 2026, are not necessarily indicative of the results that may be expected for the full fiscal year ending August 29, 2026. Each of the first three quarters of AutoZone’s fiscal year consists of 12 weeks, and the fourth quarter consists of 16 or 17 weeks. The fourth quarters of fiscal 2026 and 2025 each have 16 weeks.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The amendments in this ASU are intended to enhance the transparency of income tax information by updating income tax disclosure requirements. The guidance is effective for public entities for annual periods beginning after December 15, 2024, and early adoption is permitted. The amendments in this ASU should be applied on a prospective basis; however, retrospective application is permitted. The Company will adopt this standard with its fiscal 2026 annual filing. The Company is currently evaluating these new disclosure requirements and does not expect the adoption to have a material impact.</w:t>
      </w:r>
    </w:p>
    <w:p>
      <w:pPr>
        <w:spacing w:after="0" w:line="18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w:t>
      </w:r>
      <w:r>
        <w:rPr>
          <w:rFonts w:ascii="Times New Roman" w:cs="Times New Roman" w:eastAsia="Times New Roman" w:hAnsi="Times New Roman"/>
          <w:sz w:val="18"/>
          <w:szCs w:val="18"/>
          <w:color w:val="auto"/>
        </w:rPr>
        <w:t>. This ASU requires disclosure in the notes to the financial statements,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interim and annual reporting period, of specified information about certain costs and expenses including purchases of inventory, employee compensation, depreciation and intangible asset amortization included in each relevant expense caption. Also required is a qualitative description of the amounts remaining in relevant expense captions that are not separately disaggregated. This ASU is effective for all public entities for annual reporting periods beginning after December 15, 2026, and interim periods within annual reporting periods beginning after December 15, 2027, and early adoption is permitted. This ASU should be applied either prospectively to financial statements issued after the effective date of this update or retrospectively to all prior periods presented in the financial statements. The Company will adopt this standard with its fiscal 2028 annual filing. The Company is currently evaluating these new disclosure requirements and the impact of adoption.</w:t>
      </w:r>
    </w:p>
    <w:p>
      <w:pPr>
        <w:spacing w:after="0" w:line="192"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350-40). </w:t>
      </w:r>
      <w:r>
        <w:rPr>
          <w:rFonts w:ascii="Times New Roman" w:cs="Times New Roman" w:eastAsia="Times New Roman" w:hAnsi="Times New Roman"/>
          <w:sz w:val="18"/>
          <w:szCs w:val="18"/>
          <w:color w:val="auto"/>
        </w:rPr>
        <w:t>This ASU is intended to modernize internal-use software guidance by removing all project stages and clarifying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thresholds entities apply to begin capitalizing costs. This ASU is effective for all entities for annual reporting periods beginning after December 15, 2027, and interim reporting periods within those annual reporting periods, and early adoption is permitted. The amendments in this ASU may be applied using a prospective, modified, or retrospective transition approach. This update will be effective for the Company beginning with its fiscal 2029 first quarter. The Company is currently evaluating the impact of adoption.</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Merchandise Inventories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Merchandise inventories include related purchasing, storage and handling costs. Inventory cost has been determined using the last-in, first-out (“LIFO”) method stated at the lower of cost or market value for domestic inventories and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weighted average cost method stated at the lower of cost or net realizable value for Mexico and Brazil inventories. The Company’s policy is not to write up inventory in excess of replacement cost. Due to price changes on the Company’s merchandise purchases, primarily due to inflation driven by tariffs, the Company’s LIFO credit reserve balance was $260.0 million at May 9, 2026, and $83.0 million at August 30, 2025. Changes to the Company’s LIFO credit reserve balance are recorded as a non-cash charge or benefit to cost of sales.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Variable Interest Entities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invests in certain tax credit funds that promote renewable energy and generate a return primarily through the realization of federal tax credits. The Company considers its investments in these tax credit funds as investments in variable interest entities (“VIEs”). The Company evaluates the investment in any VIE to determine whether it is the primary beneficiary. The Company considers a variety of factors in identifying the entity that holds the power to direct matters that most significantly impact the VIE’s economic performance including, but not limited to, the ability to direct financing, leasing, construction and other operating decisions and activities. As of May 9, 2026, the Company held tax credit equity investments that were deemed to be VIEs and determined that it was not the primary beneficiary of the entities, as it did not have the power to direct the activities that most significantly impacted the entities and accounted for these investments using the equity method. The Company’s maximum exposure to losses is generally limited to its net investment, which was $71.0 million and $60.8 million as of May 9, 2026, and August 30, 2025, respectively, and was included in Other long-term assets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5496560</wp:posOffset>
            </wp:positionH>
            <wp:positionV relativeFrom="paragraph">
              <wp:posOffset>-1400175</wp:posOffset>
            </wp:positionV>
            <wp:extent cx="28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Fair Value Measurements</w:t>
      </w:r>
    </w:p>
    <w:p>
      <w:pPr>
        <w:spacing w:after="0" w:line="229" w:lineRule="exact"/>
        <w:rPr>
          <w:sz w:val="20"/>
          <w:szCs w:val="20"/>
          <w:color w:val="auto"/>
        </w:rPr>
      </w:pPr>
    </w:p>
    <w:p>
      <w:pPr>
        <w:ind w:left="60" w:right="199"/>
        <w:spacing w:after="0" w:line="277" w:lineRule="auto"/>
        <w:rPr>
          <w:sz w:val="20"/>
          <w:szCs w:val="20"/>
          <w:color w:val="auto"/>
        </w:rPr>
      </w:pPr>
      <w:r>
        <w:rPr>
          <w:rFonts w:ascii="Times New Roman" w:cs="Times New Roman" w:eastAsia="Times New Roman" w:hAnsi="Times New Roman"/>
          <w:sz w:val="17"/>
          <w:szCs w:val="17"/>
          <w:color w:val="auto"/>
        </w:rPr>
        <w:t xml:space="preserve">The Company defines fair value as the price received to transfer an asset or paid to transfer a liability in an orderly transaction between market participants at the measurement date. In accordance with ASC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Disclosures</w:t>
      </w:r>
      <w:r>
        <w:rPr>
          <w:rFonts w:ascii="Times New Roman" w:cs="Times New Roman" w:eastAsia="Times New Roman" w:hAnsi="Times New Roman"/>
          <w:sz w:val="17"/>
          <w:szCs w:val="17"/>
          <w:color w:val="auto"/>
        </w:rPr>
        <w:t>, the Company uses the fair value hierarchy, which prioritizes the inputs used to measure fair value.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hierarchy, as defined below, gives the highest priority to unadjusted quoted prices in active markets for identical assets or liabilities and the lowest priority to unobservable inputs. The three levels of the fair value hierarchy are set forth below:</w:t>
      </w:r>
    </w:p>
    <w:p>
      <w:pPr>
        <w:spacing w:after="0" w:line="164" w:lineRule="exact"/>
        <w:rPr>
          <w:sz w:val="20"/>
          <w:szCs w:val="20"/>
          <w:color w:val="auto"/>
        </w:rPr>
      </w:pPr>
    </w:p>
    <w:p>
      <w:pPr>
        <w:ind w:left="380" w:right="419"/>
        <w:spacing w:after="0" w:line="286" w:lineRule="auto"/>
        <w:rPr>
          <w:sz w:val="20"/>
          <w:szCs w:val="20"/>
          <w:color w:val="auto"/>
        </w:rPr>
      </w:pPr>
      <w:r>
        <w:rPr>
          <w:rFonts w:ascii="Times New Roman" w:cs="Times New Roman" w:eastAsia="Times New Roman" w:hAnsi="Times New Roman"/>
          <w:sz w:val="18"/>
          <w:szCs w:val="18"/>
          <w:b w:val="1"/>
          <w:bCs w:val="1"/>
          <w:color w:val="auto"/>
        </w:rPr>
        <w:t>Level 1 inputs</w:t>
      </w:r>
      <w:r>
        <w:rPr>
          <w:rFonts w:ascii="Times New Roman" w:cs="Times New Roman" w:eastAsia="Times New Roman" w:hAnsi="Times New Roman"/>
          <w:sz w:val="18"/>
          <w:szCs w:val="18"/>
          <w:color w:val="auto"/>
        </w:rPr>
        <w:t>—unadjusted quoted prices in active markets for identical assets or liabilities that the Company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at the measurement date.</w:t>
      </w:r>
    </w:p>
    <w:p>
      <w:pPr>
        <w:spacing w:after="0" w:line="155" w:lineRule="exact"/>
        <w:rPr>
          <w:sz w:val="20"/>
          <w:szCs w:val="20"/>
          <w:color w:val="auto"/>
        </w:rPr>
      </w:pPr>
    </w:p>
    <w:p>
      <w:pPr>
        <w:ind w:left="380" w:right="179"/>
        <w:spacing w:after="0" w:line="286" w:lineRule="auto"/>
        <w:rPr>
          <w:sz w:val="20"/>
          <w:szCs w:val="20"/>
          <w:color w:val="auto"/>
        </w:rPr>
      </w:pPr>
      <w:r>
        <w:rPr>
          <w:rFonts w:ascii="Times New Roman" w:cs="Times New Roman" w:eastAsia="Times New Roman" w:hAnsi="Times New Roman"/>
          <w:sz w:val="18"/>
          <w:szCs w:val="18"/>
          <w:b w:val="1"/>
          <w:bCs w:val="1"/>
          <w:color w:val="auto"/>
        </w:rPr>
        <w:t>Level 2 inputs</w:t>
      </w:r>
      <w:r>
        <w:rPr>
          <w:rFonts w:ascii="Times New Roman" w:cs="Times New Roman" w:eastAsia="Times New Roman" w:hAnsi="Times New Roman"/>
          <w:sz w:val="18"/>
          <w:szCs w:val="18"/>
          <w:color w:val="auto"/>
        </w:rPr>
        <w:t>—inputs other than quoted market prices included within Level 1 that are observable,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for the asset or liability.</w:t>
      </w:r>
    </w:p>
    <w:p>
      <w:pPr>
        <w:spacing w:after="0" w:line="155" w:lineRule="exact"/>
        <w:rPr>
          <w:sz w:val="20"/>
          <w:szCs w:val="20"/>
          <w:color w:val="auto"/>
        </w:rPr>
      </w:pPr>
    </w:p>
    <w:p>
      <w:pPr>
        <w:ind w:left="380" w:right="159"/>
        <w:spacing w:after="0" w:line="286" w:lineRule="auto"/>
        <w:rPr>
          <w:sz w:val="20"/>
          <w:szCs w:val="20"/>
          <w:color w:val="auto"/>
        </w:rPr>
      </w:pPr>
      <w:r>
        <w:rPr>
          <w:rFonts w:ascii="Times New Roman" w:cs="Times New Roman" w:eastAsia="Times New Roman" w:hAnsi="Times New Roman"/>
          <w:sz w:val="18"/>
          <w:szCs w:val="18"/>
          <w:b w:val="1"/>
          <w:bCs w:val="1"/>
          <w:color w:val="auto"/>
        </w:rPr>
        <w:t>Level 3 inputs</w:t>
      </w:r>
      <w:r>
        <w:rPr>
          <w:rFonts w:ascii="Times New Roman" w:cs="Times New Roman" w:eastAsia="Times New Roman" w:hAnsi="Times New Roman"/>
          <w:sz w:val="18"/>
          <w:szCs w:val="18"/>
          <w:color w:val="auto"/>
        </w:rPr>
        <w:t>—unobservable inputs for the asset or liability, which are based on the Company’s own assumptions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is little, if any, observable activity in identical assets or liabilities.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Marketable Debt Securities Measured at Fair Value on a Recurring Basis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marketable debt securities measured at fair value on a recurring basis were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May 9, 2026</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2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7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   Fair Value</w:t>
            </w:r>
          </w:p>
        </w:tc>
        <w:tc>
          <w:tcPr>
            <w:tcW w:w="0" w:type="dxa"/>
            <w:vAlign w:val="bottom"/>
          </w:tcPr>
          <w:p>
            <w:pPr>
              <w:spacing w:after="0"/>
              <w:rPr>
                <w:sz w:val="1"/>
                <w:szCs w:val="1"/>
                <w:color w:val="auto"/>
              </w:rPr>
            </w:pPr>
          </w:p>
        </w:tc>
      </w:tr>
      <w:tr>
        <w:trPr>
          <w:trHeight w:val="20"/>
        </w:trPr>
        <w:tc>
          <w:tcPr>
            <w:tcW w:w="3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61,090</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64,240</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36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53,201</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58,195</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Company’s marketable debt securities are typically valued at the closing price in the principal active market as of the last business day of the quarter or through the use of other market inputs relating to the securities, including benchmark yields and reported trades. Fair values of the marketable debt securities, by asset class, are described in “Note E – Marketable Debt Securities.”</w:t>
      </w:r>
    </w:p>
    <w:p>
      <w:pPr>
        <w:spacing w:after="0" w:line="18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Additionally, the Company has deferred compensation plan assets which are recorded at fair value on a recurring basis using Level 1 inputs. These assets consisted of investments in various mutual and money markets funds of which $45.7 million is recorded in Other current assets and $32.5 million is recorded in Other long-term assets at May 9, 2026, and $2.7 million was recorded in Other current assets and $68.2 million was recorded in Other long-term assets at August 30, 2025. The Company’s liability under the plan included $45.7 million recorded in Accrued expenses and other and $32.5 million recorded in Other long-term liabilities at May 9, 2026, and $2.7 million recorded in Accrued expenses and other and $68.2 million recorded in Other long-term liabilities at August 30,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Instruments not Recognized at Fair Value</w:t>
      </w:r>
    </w:p>
    <w:p>
      <w:pPr>
        <w:spacing w:after="0" w:line="22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Company has financial instruments, including cash and cash equivalents, accounts receivable, other current assets and accounts payable. The carrying amounts of these financial instruments approximate fair value because of their short maturities. A discussion of the carrying values and fair values of the Company’s debt is included in “Note I – Financing.”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 – Marketable Debt Securities</w:t>
      </w:r>
    </w:p>
    <w:p>
      <w:pPr>
        <w:spacing w:after="0" w:line="229"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Marketable debt securities are carried at fair value, with unrealized gains and losses, net of income taxes, recorded in Accumulated other comprehensive loss until realized, and any credit risk related losses are recognized in net income in the period incurred. The Company’s basis for determining the cost of a security sold is the “Specific Identification Model.”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available-for-sale marketable debt securities consisted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9, 2026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9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Amortized</w:t>
            </w:r>
          </w:p>
        </w:tc>
        <w:tc>
          <w:tcPr>
            <w:tcW w:w="300" w:type="dxa"/>
            <w:vAlign w:val="bottom"/>
            <w:gridSpan w:val="2"/>
          </w:tcPr>
          <w:p>
            <w:pPr>
              <w:jc w:val="right"/>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3"/>
          </w:tcPr>
          <w:p>
            <w:pPr>
              <w:jc w:val="center"/>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gridSpan w:val="2"/>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7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28,988</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 and 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23,501</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$ 140,743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$ 140,910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9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Amortized</w:t>
            </w:r>
          </w:p>
        </w:tc>
        <w:tc>
          <w:tcPr>
            <w:tcW w:w="300" w:type="dxa"/>
            <w:vAlign w:val="bottom"/>
            <w:gridSpan w:val="2"/>
          </w:tcPr>
          <w:p>
            <w:pPr>
              <w:jc w:val="right"/>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3"/>
          </w:tcPr>
          <w:p>
            <w:pPr>
              <w:jc w:val="center"/>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gridSpan w:val="2"/>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7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 and 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$ 122,970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$ 124,140</w:t>
            </w: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The contractual maturities of the Company’s available for sale marketable debt securities are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May 9, 2026</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5"/>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276"/>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7"/>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5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04"/>
              <w:spacing w:after="0" w:line="17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18,244</w:t>
            </w:r>
          </w:p>
        </w:tc>
        <w:tc>
          <w:tcPr>
            <w:tcW w:w="1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16,791</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77,460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79,052</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29,778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29,677</w:t>
            </w:r>
          </w:p>
        </w:tc>
        <w:tc>
          <w:tcPr>
            <w:tcW w:w="0" w:type="dxa"/>
            <w:vAlign w:val="bottom"/>
          </w:tcPr>
          <w:p>
            <w:pPr>
              <w:spacing w:after="0"/>
              <w:rPr>
                <w:sz w:val="1"/>
                <w:szCs w:val="1"/>
                <w:color w:val="auto"/>
              </w:rPr>
            </w:pPr>
          </w:p>
        </w:tc>
      </w:tr>
      <w:tr>
        <w:trPr>
          <w:trHeight w:val="175"/>
        </w:trPr>
        <w:tc>
          <w:tcPr>
            <w:tcW w:w="5200" w:type="dxa"/>
            <w:vAlign w:val="bottom"/>
            <w:tcBorders>
              <w:bottom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15,261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15,390</w:t>
            </w:r>
          </w:p>
        </w:tc>
        <w:tc>
          <w:tcPr>
            <w:tcW w:w="0" w:type="dxa"/>
            <w:vAlign w:val="bottom"/>
          </w:tcPr>
          <w:p>
            <w:pPr>
              <w:spacing w:after="0"/>
              <w:rPr>
                <w:sz w:val="1"/>
                <w:szCs w:val="1"/>
                <w:color w:val="auto"/>
              </w:rPr>
            </w:pPr>
          </w:p>
        </w:tc>
      </w:tr>
      <w:tr>
        <w:trPr>
          <w:trHeight w:val="169"/>
        </w:trPr>
        <w:tc>
          <w:tcPr>
            <w:tcW w:w="5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4"/>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3"/>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140,743</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140,910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At May 9, 2026, the Company held 131 securities that were in an unrealized loss position of approximately $0.5 million. In evaluating whether a credit loss exists for the securities, the Company considers factors such as the severity of the loss position, the credit worthiness of the investee, the term to maturity and the intent and ability to hold the investments until maturity or until recovery of fair value. An allowance for credit losses was deemed unnecessary given consideration of the factors above. The Company did not realize any material gains or losses on its marketable debt securities during the twelve and thirty-six week periods ended May 9, 2026, and the comparable prior year periods.</w:t>
      </w:r>
    </w:p>
    <w:p>
      <w:pPr>
        <w:spacing w:after="0" w:line="18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Included above in total available-for-sale marketable debt securities are $119.9 million and $117.4 million of marketable debt securities transferred by the Company’s insurance captive to a trust account to secure its obligations to an insurance company related to future workers’ compensation and casualty losses as of May 9, 2026, and August 30, 2025,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 Cloud Computing Arrangements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capitalizes implementation costs associated with its cloud computing arrangements when incurred, consistent with the treatment of costs capitalized for internal use software. These costs begin amortization once the related software is placed in service and will be amortized over the remaining non-cancellable term of the hosting agreement, plus any renewal periods that are reasonably certain to be exercised, and are recorded within Operating, selling, general and administrative expenses in the Company’s Condensed Consolidated Statements of Income, the same line item as the related hosting fees. Amortization expense of $0.4 million and $0.7 million was recorded in the twelve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and thirty-six weeks ended May 9, 2026, respectively, with no amortization expense recorded in the comparable prior year periods. At May 9, 2026, and August 30, 2025, capitalized cloud-based enterprise resource planning (“ERP”) software implementation costs of $2.8 million and $1.6 million, respectively, were recorded within Other current assets, and $40.5 million and $29.6 million, respectively, were recorded within Other long-term assets on the Company's Condensed Consolidated Balance Sheets. Cloud computing arrangement implementation costs are classified within operating activities in the Company’s Condensed Consolidated Statements of Cash Flows</w:t>
      </w:r>
      <w:r>
        <w:rPr>
          <w:rFonts w:ascii="Times New Roman" w:cs="Times New Roman" w:eastAsia="Times New Roman" w:hAnsi="Times New Roman"/>
          <w:sz w:val="18"/>
          <w:szCs w:val="18"/>
          <w:color w:val="FF0000"/>
        </w:rPr>
        <w: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Supplier Financing Programs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has arrangements with third-party financial institutions to confirm invoice balances owed by the Company to certain suppliers and pay the financial institutions the confirmed amounts on the invoice due dates. These arrangements allow the Company’s inventory suppliers, at their sole discretion, to enter into agreements directly with these financial institutions to finance the Company’s obligations to the suppliers at terms negotiated between the suppliers and the financial institutions. Supplier participation is optional and our obligations to our suppliers, including the amount and dates due, are not impacted by our suppliers’ decision to enter into an agreement with a third-party financial institution. As of May 9, 2026, and August 30, 2025, the Company had supplier obligations outstanding that had been confirmed under these arrangements of $5.6 billion, and $5.4 billion respectively, which are included in Accounts payable and $289.4 million and $264.9 million, respectively, which are included in Other long-term liabilities in the Company’s Condensed Consolidated Balance Sheets.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H – Litigation</w:t>
      </w:r>
    </w:p>
    <w:p>
      <w:pPr>
        <w:spacing w:after="0" w:line="22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legal proceedings incidental to the conduct of its business, including, but not limited to, claims and allegations related to wage and hour violations, unlawful termination, employment practices, product liability, privacy and cybersecurity, environmental matters, intellectual property rights or regulatory compliance. The Company does not currently believe that, either individually or in the aggregate, these matters will result in liabilities material to the Company’s financial condition, results of operations or cash flows.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I – Financing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consisted of the following:</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May 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August 30,</w:t>
            </w:r>
          </w:p>
        </w:tc>
      </w:tr>
      <w:tr>
        <w:trPr>
          <w:trHeight w:val="173"/>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80" w:type="dxa"/>
            <w:vAlign w:val="bottom"/>
            <w:tcBorders>
              <w:top w:val="single" w:sz="8" w:color="auto"/>
            </w:tcBorders>
          </w:tcPr>
          <w:p>
            <w:pPr>
              <w:spacing w:after="0"/>
              <w:rPr>
                <w:sz w:val="12"/>
                <w:szCs w:val="12"/>
                <w:color w:val="auto"/>
              </w:rPr>
            </w:pPr>
          </w:p>
        </w:tc>
        <w:tc>
          <w:tcPr>
            <w:tcW w:w="6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r>
      <w:tr>
        <w:trPr>
          <w:trHeight w:val="216"/>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3.125%</w:t>
            </w:r>
          </w:p>
        </w:tc>
        <w:tc>
          <w:tcPr>
            <w:tcW w:w="6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April 2026, effective interest rate 3.28%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5.050%</w:t>
            </w:r>
          </w:p>
        </w:tc>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July 2026, effective interest rate 5.09%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16"/>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3.750%</w:t>
            </w:r>
          </w:p>
        </w:tc>
        <w:tc>
          <w:tcPr>
            <w:tcW w:w="6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June 2027, effective interest rate 3.83%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4.500%</w:t>
            </w:r>
          </w:p>
        </w:tc>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February 2028, effective interest rate 4.43%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16"/>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6.250%</w:t>
            </w:r>
          </w:p>
        </w:tc>
        <w:tc>
          <w:tcPr>
            <w:tcW w:w="6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November 2028, effective interest rate 6.46%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3.750%</w:t>
            </w:r>
          </w:p>
        </w:tc>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April 2029, effective interest rate 3.86%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16"/>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5.100%</w:t>
            </w:r>
          </w:p>
        </w:tc>
        <w:tc>
          <w:tcPr>
            <w:tcW w:w="6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July 2029, effective interest rate 5.30%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4.000%</w:t>
            </w:r>
          </w:p>
        </w:tc>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April 2030, effective interest rate 4.09%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16"/>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5.125%</w:t>
            </w:r>
          </w:p>
        </w:tc>
        <w:tc>
          <w:tcPr>
            <w:tcW w:w="6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June 2030, effective interest rate 5.14%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1.650%</w:t>
            </w:r>
          </w:p>
        </w:tc>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January 2031, effective interest rate 2.19%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4.750%</w:t>
            </w:r>
          </w:p>
        </w:tc>
        <w:tc>
          <w:tcPr>
            <w:tcW w:w="6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August 2032, effective interest rate 4.76%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16"/>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4.750%</w:t>
            </w:r>
          </w:p>
        </w:tc>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February 2033, effective interest rate 4.70%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16"/>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5.200%</w:t>
            </w:r>
          </w:p>
        </w:tc>
        <w:tc>
          <w:tcPr>
            <w:tcW w:w="6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August 2033, effective interest rate 5.22%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6.550%</w:t>
            </w:r>
          </w:p>
        </w:tc>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November 2033, effective interest rate 6.71%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5.400%</w:t>
            </w:r>
          </w:p>
        </w:tc>
        <w:tc>
          <w:tcPr>
            <w:tcW w:w="6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July 2034, effective interest rate 5.54%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198"/>
        </w:trPr>
        <w:tc>
          <w:tcPr>
            <w:tcW w:w="68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Commercial paper, weighted average interest rate 3.96% at May 9, 2026, and 4.46% at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6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August 30, 2025</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1,358,000</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748,600</w:t>
            </w:r>
          </w:p>
        </w:tc>
      </w:tr>
      <w:tr>
        <w:trPr>
          <w:trHeight w:val="210"/>
        </w:trPr>
        <w:tc>
          <w:tcPr>
            <w:tcW w:w="6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before discounts and debt issuance costs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8,848,600</w:t>
            </w:r>
          </w:p>
        </w:tc>
      </w:tr>
      <w:tr>
        <w:trPr>
          <w:trHeight w:val="216"/>
        </w:trPr>
        <w:tc>
          <w:tcPr>
            <w:tcW w:w="68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Less: Discounts and debt issuance costs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48,825</w:t>
            </w:r>
          </w:p>
        </w:tc>
      </w:tr>
      <w:tr>
        <w:trPr>
          <w:trHeight w:val="21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9,016,477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8,799,775</w:t>
            </w:r>
          </w:p>
        </w:tc>
      </w:tr>
      <w:tr>
        <w:trPr>
          <w:trHeight w:val="20"/>
        </w:trPr>
        <w:tc>
          <w:tcPr>
            <w:tcW w:w="5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maintains a revolving credit facility (as amended from time to time, the “Revolving Credit Agreement”) with a borrowing capacity of $2.25 billion. The maximum borrowing capacity under the Revolving Credit Agreement may, at the Company’s option, subject to lenders’ approval, be increased from $2.25 billion to $3.25 billion. The Revolving Credit Agreement will terminate, and all amounts borrowed will be due and payable, on November 15, 2028. As of May 9, 2026, the Company had no outstanding borrowings and $1.7 million of outstanding letters of credit under the Revolving Credit Agreement.</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addition to the outstanding letters of credit issued under the Revolving Credit Agreement discussed above, the Company had $166.7 million and $149.1 million in letters of credit outstanding as of May 9, 2026, and August 30, 2025, respectively. These letters of credit have various maturity dates and were issued on an uncommitted basis. Additionally, the Company’s total surety bonds commitment was $98.4 million at May 9, 2026, compared with $100.5 million at August 30, 2025. Since its fiscal year end, the Company has canceled, issued and modified stand-by letters of credit that are primarily renewed on an annual basis to cover deductible payments to its casualty insurance carriers.</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As of May 9, 2026, the $1.4 billion commercial paper borrowings and the $450 million 5.050% Senior Notes due July 2026 were classified as long-term debt in the accompanying Condensed Consolidated Balance Sheets as the Company currently has the ability and intent to refinance them on a long-term basis through available capacity under its Revolving Credit Agreement. As of May 9, 2026, the Company had $2.2 billion of availability under its Revolving Credit Agreement, which would allow it to replace these short-term obligations with a long-term financing facility.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April 21, 2026, the Company repaid its outstanding $400 million 3.125% Senior Notes due April 2026.</w:t>
      </w:r>
    </w:p>
    <w:p>
      <w:pPr>
        <w:spacing w:after="0" w:line="22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Senior Notes contain a provision that repayment may be accelerated if the Company experiences both a change of control and a rating event (both as defined in the agreements). The Company’s borrowings under its Senior Notes contain minimal covenants, primarily restrictions on liens. All of the repayment obligations under its borrowing arrangements may be accelerated and come due prior to the scheduled payment date if covenants are breached or an event of default occurs. Interest for the Senior Notes is paid on a semi-annual basis.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fair value of the Company’s debt was estimated at $9.0 billion and $8.9 billion as of May 9, 2026, and August 30, 2025, respectively, based on the quoted market prices for the same or similar issues or on the current rates available to the Company for debt of the same terms (Level 2). Such fair value is greater than the carrying value of debt by $32.7 million and $94.4 million at May 9, 2026, and August 30, 2025, respectively, which reflects the face amount, adjusted for any unamortized debt issuance costs and discounts.</w:t>
      </w:r>
    </w:p>
    <w:p>
      <w:pPr>
        <w:spacing w:after="0" w:line="183"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As of May 9, 2026, the Company was in compliance with all covenants and expects to remain in compliance with all covenants under its borrowing arrangements.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J – Stock Repurchase Program</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January 1, 1998, to May 9, 2026, the Company has repurchased a total of 156.0 million shares of its common stock at an aggregate cost of $39.8 billion, including 356.3 thousand shares of its common stock at an aggregate cost of $1.3 billion during the thirty-six week period ended May 9, 2026.</w:t>
      </w:r>
    </w:p>
    <w:p>
      <w:pPr>
        <w:spacing w:after="0" w:line="1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On October 8, 2025, the Board voted to authorize the repurchase of an additional $1.5 billion of the Company’s common stock in connection with its ongoing share repurchase program, which raised the total value of shares authorized to be repurchased to $40.7 billion. Considering the cumulative repurchases as of May 9, 2026, the Company had $0.8 billion remaining under the Board’s authorization to repurchase its common stock.</w:t>
      </w:r>
    </w:p>
    <w:p>
      <w:pPr>
        <w:spacing w:after="0" w:line="18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During the thirty-six week period ended May 9, 2026, the Company retired 0.4 million shares of treasury stock which had been previously repurchased under the Company’s stock repurchase program. The retirement increased Retained deficit by $1.4 billion and decreased Additional paid-in capital by $45.1 million. During the comparable prior year period, the Company retired 0.7 million shares of treasury stock, which increased Retained deficit by $2.0 billion and decreased Additional paid-in capital by $69.9 million.</w:t>
      </w:r>
    </w:p>
    <w:p>
      <w:pPr>
        <w:spacing w:after="0" w:line="183"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Subsequent to May 9, 2026, and through June 5, 2026, the Company has repurchased 53.9 thousand shares of its common stock at an aggregate cost of $174.0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K – Accumulated Other Comprehensive Loss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includes foreign currency translation adjustments, net unrealized gains (losses) on marketable debt securities, and net derivative activities.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Changes in Accumulated other comprehensive loss for the twelve week periods ended May 9, 2026, and May 10, 2025, consisted of the following:</w:t>
      </w:r>
    </w:p>
    <w:tbl>
      <w:tblPr>
        <w:tblLayout w:type="fixed"/>
        <w:tblInd w:w="40" w:type="dxa"/>
        <w:tblCellMar>
          <w:top w:w="0" w:type="dxa"/>
          <w:left w:w="0" w:type="dxa"/>
          <w:bottom w:w="0" w:type="dxa"/>
          <w:right w:w="0" w:type="dxa"/>
        </w:tblCellMar>
      </w:tblPr>
      <w:tr>
        <w:trPr>
          <w:trHeight w:val="137"/>
        </w:trPr>
        <w:tc>
          <w:tcPr>
            <w:tcW w:w="4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40" w:type="dxa"/>
            <w:vAlign w:val="bottom"/>
          </w:tcPr>
          <w:p>
            <w:pPr>
              <w:spacing w:after="0"/>
              <w:rPr>
                <w:sz w:val="12"/>
                <w:szCs w:val="12"/>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5"/>
          </w:tcPr>
          <w:p>
            <w:pPr>
              <w:jc w:val="right"/>
              <w:ind w:right="120"/>
              <w:spacing w:after="0" w:line="176" w:lineRule="exact"/>
              <w:rPr>
                <w:sz w:val="20"/>
                <w:szCs w:val="20"/>
                <w:color w:val="auto"/>
              </w:rPr>
            </w:pPr>
            <w:r>
              <w:rPr>
                <w:rFonts w:ascii="Times New Roman" w:cs="Times New Roman" w:eastAsia="Times New Roman" w:hAnsi="Times New Roman"/>
                <w:sz w:val="14"/>
                <w:szCs w:val="14"/>
                <w:b w:val="1"/>
                <w:bCs w:val="1"/>
                <w:color w:val="auto"/>
              </w:rPr>
              <w:t>​​ and Other</w:t>
            </w:r>
            <w:r>
              <w:rPr>
                <w:rFonts w:ascii="Times New Roman" w:cs="Times New Roman" w:eastAsia="Times New Roman" w:hAnsi="Times New Roman"/>
                <w:sz w:val="20"/>
                <w:szCs w:val="20"/>
                <w:b w:val="1"/>
                <w:bCs w:val="1"/>
                <w:color w:val="auto"/>
                <w:vertAlign w:val="superscript"/>
              </w:rPr>
              <w:t>(1)</w:t>
            </w:r>
          </w:p>
        </w:tc>
        <w:tc>
          <w:tcPr>
            <w:tcW w:w="11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on Securities</w:t>
            </w:r>
          </w:p>
        </w:tc>
        <w:tc>
          <w:tcPr>
            <w:tcW w:w="4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February 14, 2026</w:t>
            </w:r>
          </w:p>
        </w:tc>
        <w:tc>
          <w:tcPr>
            <w:tcW w:w="10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(151,327)</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(8,083)</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comprehensive income (loss) before reclassifications</w:t>
            </w:r>
            <w:r>
              <w:rPr>
                <w:rFonts w:ascii="Times New Roman" w:cs="Times New Roman" w:eastAsia="Times New Roman" w:hAnsi="Times New Roman"/>
                <w:sz w:val="25"/>
                <w:szCs w:val="25"/>
                <w:color w:val="auto"/>
                <w:vertAlign w:val="superscript"/>
              </w:rPr>
              <w:t>(2)</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loss</w:t>
            </w:r>
            <w:r>
              <w:rPr>
                <w:rFonts w:ascii="Times New Roman" w:cs="Times New Roman" w:eastAsia="Times New Roman" w:hAnsi="Times New Roman"/>
                <w:sz w:val="26"/>
                <w:szCs w:val="26"/>
                <w:color w:val="auto"/>
                <w:vertAlign w:val="superscript"/>
              </w:rPr>
              <w:t>(2)</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9, 2026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(129,490)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4"/>
                <w:szCs w:val="14"/>
                <w:b w:val="1"/>
                <w:bCs w:val="1"/>
                <w:color w:val="auto"/>
              </w:rPr>
              <w:t>​​ and Other</w:t>
            </w:r>
            <w:r>
              <w:rPr>
                <w:rFonts w:ascii="Times New Roman" w:cs="Times New Roman" w:eastAsia="Times New Roman" w:hAnsi="Times New Roman"/>
                <w:sz w:val="20"/>
                <w:szCs w:val="20"/>
                <w:b w:val="1"/>
                <w:bCs w:val="1"/>
                <w:color w:val="auto"/>
                <w:vertAlign w:val="superscript"/>
              </w:rPr>
              <w:t>(1)</w:t>
            </w:r>
          </w:p>
        </w:tc>
        <w:tc>
          <w:tcPr>
            <w:tcW w:w="11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on Securities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February 15, 2025</w:t>
            </w:r>
          </w:p>
        </w:tc>
        <w:tc>
          <w:tcPr>
            <w:tcW w:w="112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(397,164)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(9,838)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comprehensive income before reclassifications</w:t>
            </w:r>
            <w:r>
              <w:rPr>
                <w:rFonts w:ascii="Times New Roman" w:cs="Times New Roman" w:eastAsia="Times New Roman" w:hAnsi="Times New Roman"/>
                <w:sz w:val="25"/>
                <w:szCs w:val="25"/>
                <w:color w:val="auto"/>
                <w:vertAlign w:val="superscript"/>
              </w:rPr>
              <w:t>(2)</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49,636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loss</w:t>
            </w:r>
            <w:r>
              <w:rPr>
                <w:rFonts w:ascii="Times New Roman" w:cs="Times New Roman" w:eastAsia="Times New Roman" w:hAnsi="Times New Roman"/>
                <w:sz w:val="26"/>
                <w:szCs w:val="26"/>
                <w:color w:val="auto"/>
                <w:vertAlign w:val="superscript"/>
              </w:rPr>
              <w:t>(2)</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10, 2025</w:t>
            </w: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(347,528)</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(357,051)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Changes in Accumulated other comprehensive loss for the thirty-six week periods ended May 9, 2026, and May 10, 2025, consisted of the following:</w:t>
      </w:r>
    </w:p>
    <w:tbl>
      <w:tblPr>
        <w:tblLayout w:type="fixed"/>
        <w:tblInd w:w="40" w:type="dxa"/>
        <w:tblCellMar>
          <w:top w:w="0" w:type="dxa"/>
          <w:left w:w="0" w:type="dxa"/>
          <w:bottom w:w="0" w:type="dxa"/>
          <w:right w:w="0" w:type="dxa"/>
        </w:tblCellMar>
      </w:tblPr>
      <w:tr>
        <w:trPr>
          <w:trHeight w:val="137"/>
        </w:trPr>
        <w:tc>
          <w:tcPr>
            <w:tcW w:w="4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40" w:type="dxa"/>
            <w:vAlign w:val="bottom"/>
          </w:tcPr>
          <w:p>
            <w:pPr>
              <w:spacing w:after="0"/>
              <w:rPr>
                <w:sz w:val="12"/>
                <w:szCs w:val="12"/>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5"/>
          </w:tcPr>
          <w:p>
            <w:pPr>
              <w:jc w:val="right"/>
              <w:ind w:right="120"/>
              <w:spacing w:after="0" w:line="176" w:lineRule="exact"/>
              <w:rPr>
                <w:sz w:val="20"/>
                <w:szCs w:val="20"/>
                <w:color w:val="auto"/>
              </w:rPr>
            </w:pPr>
            <w:r>
              <w:rPr>
                <w:rFonts w:ascii="Times New Roman" w:cs="Times New Roman" w:eastAsia="Times New Roman" w:hAnsi="Times New Roman"/>
                <w:sz w:val="14"/>
                <w:szCs w:val="14"/>
                <w:b w:val="1"/>
                <w:bCs w:val="1"/>
                <w:color w:val="auto"/>
              </w:rPr>
              <w:t>​​ and Other</w:t>
            </w:r>
            <w:r>
              <w:rPr>
                <w:rFonts w:ascii="Times New Roman" w:cs="Times New Roman" w:eastAsia="Times New Roman" w:hAnsi="Times New Roman"/>
                <w:sz w:val="20"/>
                <w:szCs w:val="20"/>
                <w:b w:val="1"/>
                <w:bCs w:val="1"/>
                <w:color w:val="auto"/>
                <w:vertAlign w:val="superscript"/>
              </w:rPr>
              <w:t>(1)</w:t>
            </w:r>
          </w:p>
        </w:tc>
        <w:tc>
          <w:tcPr>
            <w:tcW w:w="11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on Securities</w:t>
            </w:r>
          </w:p>
        </w:tc>
        <w:tc>
          <w:tcPr>
            <w:tcW w:w="4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August 30, 2025</w:t>
            </w:r>
          </w:p>
        </w:tc>
        <w:tc>
          <w:tcPr>
            <w:tcW w:w="10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(277,036)</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(8,892)</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comprehensive income (loss) before reclassifications</w:t>
            </w:r>
            <w:r>
              <w:rPr>
                <w:rFonts w:ascii="Times New Roman" w:cs="Times New Roman" w:eastAsia="Times New Roman" w:hAnsi="Times New Roman"/>
                <w:sz w:val="25"/>
                <w:szCs w:val="25"/>
                <w:color w:val="auto"/>
                <w:vertAlign w:val="superscript"/>
              </w:rPr>
              <w:t>(2)</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147,546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loss</w:t>
            </w:r>
            <w:r>
              <w:rPr>
                <w:rFonts w:ascii="Times New Roman" w:cs="Times New Roman" w:eastAsia="Times New Roman" w:hAnsi="Times New Roman"/>
                <w:sz w:val="26"/>
                <w:szCs w:val="26"/>
                <w:color w:val="auto"/>
                <w:vertAlign w:val="superscript"/>
              </w:rPr>
              <w:t>(2)</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9, 2026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(129,490)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5"/>
          </w:tcPr>
          <w:p>
            <w:pPr>
              <w:jc w:val="right"/>
              <w:ind w:right="100"/>
              <w:spacing w:after="0" w:line="176" w:lineRule="exact"/>
              <w:rPr>
                <w:sz w:val="20"/>
                <w:szCs w:val="20"/>
                <w:color w:val="auto"/>
              </w:rPr>
            </w:pPr>
            <w:r>
              <w:rPr>
                <w:rFonts w:ascii="Times New Roman" w:cs="Times New Roman" w:eastAsia="Times New Roman" w:hAnsi="Times New Roman"/>
                <w:sz w:val="14"/>
                <w:szCs w:val="14"/>
                <w:b w:val="1"/>
                <w:bCs w:val="1"/>
                <w:color w:val="auto"/>
              </w:rPr>
              <w:t>​​ and Other</w:t>
            </w:r>
            <w:r>
              <w:rPr>
                <w:rFonts w:ascii="Times New Roman" w:cs="Times New Roman" w:eastAsia="Times New Roman" w:hAnsi="Times New Roman"/>
                <w:sz w:val="20"/>
                <w:szCs w:val="20"/>
                <w:b w:val="1"/>
                <w:bCs w:val="1"/>
                <w:color w:val="auto"/>
                <w:vertAlign w:val="superscript"/>
              </w:rPr>
              <w:t>(1)</w:t>
            </w:r>
          </w:p>
        </w:tc>
        <w:tc>
          <w:tcPr>
            <w:tcW w:w="11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on Securities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August 31, 2024</w:t>
            </w:r>
          </w:p>
        </w:tc>
        <w:tc>
          <w:tcPr>
            <w:tcW w:w="112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(351,272)</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(10,646)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comprehensive income (loss) before reclassifications</w:t>
            </w:r>
            <w:r>
              <w:rPr>
                <w:rFonts w:ascii="Times New Roman" w:cs="Times New Roman" w:eastAsia="Times New Roman" w:hAnsi="Times New Roman"/>
                <w:sz w:val="25"/>
                <w:szCs w:val="25"/>
                <w:color w:val="auto"/>
                <w:vertAlign w:val="superscript"/>
              </w:rPr>
              <w:t>(2)</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loss</w:t>
            </w:r>
            <w:r>
              <w:rPr>
                <w:rFonts w:ascii="Times New Roman" w:cs="Times New Roman" w:eastAsia="Times New Roman" w:hAnsi="Times New Roman"/>
                <w:sz w:val="26"/>
                <w:szCs w:val="26"/>
                <w:color w:val="auto"/>
                <w:vertAlign w:val="superscript"/>
              </w:rPr>
              <w:t>(2)</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10, 2025</w:t>
            </w: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(347,528)</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(357,051)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380" w:right="419" w:hanging="330"/>
        <w:spacing w:after="0" w:line="270" w:lineRule="auto"/>
        <w:tabs>
          <w:tab w:leader="none" w:pos="38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Foreign currency, which primarily relates to our operations in Mexico, is shown net of U.S. tax to account for foreign currency impacts of certain undistributed non-U.S. subsidiaries’ earnings.</w:t>
      </w:r>
    </w:p>
    <w:p>
      <w:pPr>
        <w:ind w:left="380" w:hanging="330"/>
        <w:spacing w:after="0"/>
        <w:tabs>
          <w:tab w:leader="none" w:pos="38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Amounts shown are net of taxes/tax benefits.</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L – Share-Based Plans</w:t>
      </w:r>
    </w:p>
    <w:p>
      <w:pPr>
        <w:spacing w:after="0" w:line="22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AutoZone maintains several equity incentive plans, which provide equity-based compensation to non-employee directors and eligible employees for their service to AutoZone, its subsidiaries or affiliates. The Company recognizes compensation expense for share-based payments based on the fair value of the awards at the grant date. Share-based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payments include stock option grants, restricted stock grants, restricted stock unit grants, discounts on shares sold to employees under share purchase plans and other awards. Additionally, directors’ fees are paid in restricted stock units with value equivalent to the value of shares of common stock as of the grant date. The change in fair value of liability-based stock awards is also recognized in share-based compensation expense.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Company made stock option grants for 119,235 shares during the thirty-six week period ended May 9, 2026, and granted options to purchase 122,802 shares during the comparable prior year period. The Company grants options to purchase common stock to certain of its employees under its equity incentive plans at prices equal to or above the market value of the stock on the date of grant. Option-vesting periods range from four to five years, with the majority of options vesting ratably over four years. The fair value of each option is amortized into compensation expense on a straight-line basis over the requisite service period, less estimated forfeitures. Employees who meet the qualified retirement provisions under the AutoZone, Inc. 2020 Omnibus Incentive Award Plan are assumed to have a 0% forfeiture rate. All other employee grants assume a 10% forfeiture rate, which is based on historical experience.</w:t>
      </w:r>
    </w:p>
    <w:p>
      <w:pPr>
        <w:spacing w:after="0" w:line="192"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the stock option awards granted during the thirty-six week periods ended May 9, 2026, and May 10, 2025, using the Black-Scholes-Merton multiple-option pricing valuation model, was $1,265.06 and $1,026.36 per share, respectively, using the following weighted average key assumptions:</w:t>
      </w:r>
    </w:p>
    <w:p>
      <w:pPr>
        <w:spacing w:after="0" w:line="18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Thirty-Six Weeks Ended</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580" w:type="dxa"/>
            <w:vAlign w:val="bottom"/>
          </w:tcPr>
          <w:p>
            <w:pPr>
              <w:ind w:left="644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May 9,</w:t>
            </w:r>
          </w:p>
        </w:tc>
        <w:tc>
          <w:tcPr>
            <w:tcW w:w="960" w:type="dxa"/>
            <w:vAlign w:val="bottom"/>
            <w:tcBorders>
              <w:top w:val="single" w:sz="8" w:color="auto"/>
            </w:tcBorders>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May 10,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00" w:type="dxa"/>
            <w:vAlign w:val="bottom"/>
            <w:gridSpan w:val="2"/>
          </w:tcPr>
          <w:p>
            <w:pPr>
              <w:ind w:left="64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8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lives (in years)</w:t>
            </w:r>
          </w:p>
        </w:tc>
        <w:tc>
          <w:tcPr>
            <w:tcW w:w="8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439"/>
        <w:spacing w:after="0" w:line="312" w:lineRule="auto"/>
        <w:rPr>
          <w:sz w:val="20"/>
          <w:szCs w:val="20"/>
          <w:color w:val="auto"/>
        </w:rPr>
      </w:pPr>
      <w:r>
        <w:rPr>
          <w:rFonts w:ascii="Times New Roman" w:cs="Times New Roman" w:eastAsia="Times New Roman" w:hAnsi="Times New Roman"/>
          <w:sz w:val="17"/>
          <w:szCs w:val="17"/>
          <w:color w:val="auto"/>
        </w:rPr>
        <w:t>During the thirty-six week period ended May 9, 2026, and the comparable prior year period, 54,837 and 117,698 stock options, respectively, were exercised at a weighted average exercise price of $1,092.99 and $906.53, respectively.</w:t>
      </w:r>
    </w:p>
    <w:p>
      <w:pPr>
        <w:spacing w:after="0" w:line="140"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As of May 9, 2026, total unrecognized share-based expense related to stock options, net of estimated forfeitures, was approximately $165.7 million, before income taxes, which we expect to recognize over an estimated weighted average period of 2.9 years.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Restricted stock unit awards are valued at the market price of a share of the Company’s stock on the date of grant. Grants of employee restricted stock units vest ratably on an annual basis over a four-year service period and are payable in shares of common stock on the vesting date. Compensation expense for grants of employee restricted stock units is recognized on a straight-line basis over the four-year service period, less estimated forfeitures, which are consistent with stock option forfeiture assumptions. Grants of non-employee director restricted stock units are made and expensed on January 1 of each year, as they vest immediately.</w:t>
      </w:r>
    </w:p>
    <w:p>
      <w:pPr>
        <w:spacing w:after="0" w:line="187"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Company made grants of 2,267 and 2,743 restricted stock unit awards at weighted average grant date fair values of $3,788.99 and $3,155.36, respectively, during the thirty-six week periods ended May 9, 2026, and May 10, 2025.</w:t>
      </w:r>
    </w:p>
    <w:p>
      <w:pPr>
        <w:spacing w:after="0" w:line="162"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During the thirty-six week period ended May 9, 2026, and the comparable prior year period, 2,828 and 3,218 restricted stock unit awards, respectively, were vested at a weighted average grant date fair value of $2,694.23 and $2,041.04,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As of May 9, 2026, total unrecognized stock-based compensation expense related to nonvested restricted stock unit awards, net of estimated forfeitures, was approximately $8.6 million, before income taxes, which we expect to recognize over an estimated weighted average period of 2.7 years.</w:t>
      </w:r>
    </w:p>
    <w:p>
      <w:pPr>
        <w:spacing w:after="0" w:line="176"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Total share-based compensation expense (a component of Operating, selling, general and administrative expenses) for the twelve and thirty-six week periods ended May 9, 2026, was $30.2 million and $97.6 million, respectively. For the comparable prior year periods, total share-based compensation expense was $29.0 million and $85.6 million, respectively.</w:t>
      </w:r>
    </w:p>
    <w:p>
      <w:pPr>
        <w:spacing w:after="0" w:line="15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For the twelve and thirty-six week periods ended May 9, 2026, 150,738 and 117,565, respectively, stock options were excluded from the diluted earnings per share computation because they would have been anti-dilutive. For the comparable prior year periods, 125,197 and 114,925 anti-dilutive stock options were excluded from the dilutive earnings per share computation.</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See AutoZone’s Annual Report on Form 10-K for the year ended August 30, 2025, and other filings with the SEC for a discussion regarding the methodology used in developing AutoZone’s assumptions to determine the fair value of the option awards and a description of AutoZone’s Amended and Restated 2011 Equity Incentive Award Plan, the AutoZone, Inc. 2020 Omnibus Incentive Award Plan and the Director Compensation Program.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M – Segment Reporting</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is a leading retailer and distributor of automotive parts and accessories through the Company’s 7,856 stores in the Americas.</w:t>
      </w:r>
    </w:p>
    <w:p>
      <w:pPr>
        <w:spacing w:after="0" w:line="16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has a single operating and reportable segment which aligns with how the Company is managed. This single operating segment includes all operations which are designed to enable customers to purchase products seamlessly in stores and from our online platforms. We carry an extensive product line for cars, sport utility vehicles, vans and light duty trucks, including new and remanufactured automotive hard parts, maintenance items, accessories and non-automotive products. The Company’s chief operating decision maker (“CODM”), the Chief Executive Officer, regularly reviews consolidated net income, as well as significant segment expenses included in the table below, to evaluate performance and allocate resources. The CODM also evaluates consolidated actual results versus forecasts, budgets and prior year results. The measure of segment assets is reported as “Total assets” on the Condensed Consolidated Balance Sheets as of May 9, 2026, and August 30, 2025. Expenditures for long-lived segment assets are reported as “Capital expenditures” on the Condensed Consolidated Statements of Cash Flows for the thirty-six weeks ended May 9, 2026, and May 10, 2025.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represents significant expenses that are regularly provided to the CODM for the twelve and thirty-six weeks ended May 9, 2026, and May 10, 2025:</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Thirty-Six Weeks Ended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gridSpan w:val="2"/>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May 9,</w:t>
            </w:r>
          </w:p>
        </w:tc>
        <w:tc>
          <w:tcPr>
            <w:tcW w:w="320" w:type="dxa"/>
            <w:vAlign w:val="bottom"/>
            <w:gridSpan w:val="2"/>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May 10,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May 9,</w:t>
            </w:r>
          </w:p>
        </w:tc>
        <w:tc>
          <w:tcPr>
            <w:tcW w:w="280" w:type="dxa"/>
            <w:vAlign w:val="bottom"/>
            <w:gridSpan w:val="2"/>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May 10,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Auto Parts Segment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4,840,950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4,464,339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13,743,677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12,695,991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including warehouse and delivery expenses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2,316,376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2,524,574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Compensation expense</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Rent expense</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Advertising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171,775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441,278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641,491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608,440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1,641,174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00" w:right="219" w:hanging="250"/>
        <w:spacing w:after="0" w:line="270" w:lineRule="auto"/>
        <w:tabs>
          <w:tab w:leader="none" w:pos="27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Compensation expense includes operating, selling, general and administrative expenses for payroll expense, benefits, related taxes, share-based compensation and other employee costs.</w:t>
      </w:r>
    </w:p>
    <w:p>
      <w:pPr>
        <w:ind w:left="300" w:right="79" w:hanging="250"/>
        <w:spacing w:after="0" w:line="264" w:lineRule="auto"/>
        <w:tabs>
          <w:tab w:leader="none" w:pos="27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Rent expense includes rent and variable operating lease components, related to insurance and common area maintenance included in selling, general and administrative expenses. Rent expense related to supply chain is included in cost of sales, including warehouse and delivery expenses.</w:t>
      </w:r>
    </w:p>
    <w:p>
      <w:pPr>
        <w:ind w:left="300" w:right="319" w:hanging="250"/>
        <w:spacing w:after="0" w:line="288" w:lineRule="auto"/>
        <w:tabs>
          <w:tab w:leader="none" w:pos="27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Other segment items include vehicle expense, utilities expense, real estate taxes and insurance expense, service charges and other operating expenses.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N – Commitments and Contingencies</w:t>
      </w:r>
    </w:p>
    <w:p>
      <w:pPr>
        <w:spacing w:after="0" w:line="229"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On February 20, 2026, the U.S. Supreme Court invalidated tariffs imposed under the International Emergency Economic Powers Act (‘IEEPA’). The President immediately introduced new tariffs under different statutory authority, though their scope and duration, and the likelihood and outcome of further legal challenges to these tariffs, remain uncertain. On April 20, 2026, the Company filed for refunds of IEEPA tariffs paid directly by the Company via the U.S. Customs and Border Protection’s consolidated administration and processing of entries tool in the automated commercial environment portal. Due to the uncertainty around the timing and amount of refunds to be received, the Company has not recognized any potential IEEPA tariff refunds within its Condensed Consolidated Financial Statements as of May 9, 2026. The Company continues to monitor the potential impacts on its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AutoZone, Inc.</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Statements</w:t>
      </w:r>
    </w:p>
    <w:p>
      <w:pPr>
        <w:spacing w:after="0" w:line="12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AutoZone, Inc. (the Company) as of May 9, 2026, the related condensed consolidated statements of income, comprehensive income and stockholders’ deficit for the twelve and thirty-six week periods ended May 9, 2026, and May 10, 2025, the condensed consolidated statements of cash flows for the thirty-six week periods ended May 9, 2026, and May 10, 2025, and the related notes (collectively referred to as the “condensed consolidated interim financial statements”). Based on our reviews, we are not aware of any material modifications that should be made to the condensed consolidated interim financial statements for them to be in conformity with U.S. generally accepted accounting principles.</w:t>
      </w:r>
    </w:p>
    <w:p>
      <w:pPr>
        <w:spacing w:after="0" w:line="18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August 30, 2025, the related consolidated statements of income, comprehensive income, stockholders’ deficit and cash flows for the year then ended, and the related notes (not presented herein); and in our report dated October 27, 2025, we expressed an unqualified audit opinion on those consolidated financial statements. In our opinion, the information set forth in the accompanying condensed consolidated balance sheet as of August 30, 2025, is fairly stated, in all material respects, in relation to the consolidated balance sheet from which it has been derived.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121"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 Management’s Discussion and Analysis of Financial Condition and Results of Operations (“MD&amp;A”), we provide a historical and prospective narrative of our general financial condition, results of operations, liquidity and certain other factors that may affect the future results of AutoZone, Inc. (“AutoZone” or the “Company”). The following MD&amp;A discussion should be read in conjunction with our Condensed Consolidated Financial Statements, related notes to those statements and other financial information, including forward-looking statements and risk factors, that appear elsewhere in this Quarterly Report on Form 10-Q, our Annual Report on Form 10-K for the year ended August 30, 2025, and other filings we make with the SEC.</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Certain statements herein constitute forward-looking statements that are subject to the safe harbor provisions of the Private Securities Litigation Reform Act of 1995. Forward-looking statements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sales and profit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I of our Annual Report on Form 10-K for the year ended August 30, 2025. Forward-looking statements are not guarantees of future performance and actual results may differ materially from those contemplated by such forward-looking statements. Events described above and in the “Risk Factors”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We are a leading retailer and distributor of automotive replacement parts and accessories in the Americas. We began operations in 1979 and at May 9, 2026, operated 6,766 stores in the U.S., 933 stores in Mexico and 157 stores in Brazil. Each store carries an extensive product line for cars, sport utility vehicles, vans and light duty trucks, including new and remanufactured automotive hard parts, maintenance items, accessories and non-automotive products. At May 9, 2026, in 6,356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automotive diagnostic, repair, collision and shop management software through www.alldata.com. We also provide product information on our Duralast branded products through www.duralastparts.com. We do not derive revenue from automotive repair or installation services. Our websites and the information contained therein or linked thereto are not intended to be incorporated into this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Operating results for the twelve and thirty-six weeks ended May 9, 2026, are not necessarily indicative of the results that may be expected for the fiscal year ending August 29, 2026. Each of the first three quarters of our fiscal year consists of 12 weeks, and the fourth quarter consists of 16 or 17 weeks. The fourth quarters of fiscal 2026 and 2025 each have 16 weeks. Our business is somewhat seasonal in nature, with the highest sales generally occurring during the months of February through September, and the lowest sales generally occurring in the months of December and January.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Net sales increased to $4.8 billion, an 8.4% increase over the comparable prior year period. Operating profit increased 6.6% to $923.8 million. The third quarter operating profit comparison was negatively impacted by a $36.0 million net unfavorable non-cash LIFO impact. Net income increased 5.4% to $641.5 million and diluted earnings per share increased 7.7% to $38.07 for the quarter.</w:t>
      </w:r>
    </w:p>
    <w:p>
      <w:pPr>
        <w:spacing w:after="0" w:line="18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During the third quarter of fiscal 2026, failure and maintenance related categories represented the largest portion of our sales mix at approximately 85% of total sales, whereas they represented approximately 86% of total sales in the comparable prior year period. Failure related categories continue to be the largest portion of our sales mix. We did not experience any fundamental shifts in our category sales mix as compared to the previous year. Our sales mix can be impacted by weather over a short-term period. Over the long-term, we believe the impact of weather on our sales mix is not significant.</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Our business is impacted by various factors within the economy that affect both our consumers and our industry, including but not limited to inflation, interest rates, levels of consumer debt, fuel and energy costs, prevailing wage rates, foreign currency exchange rate fluctuations, supply chain disruptions, tariffs, trade policies and other geopolitical factors, hiring and other economic conditions. Given the nature of these macroeconomic factors, which are generally outside of our control, we cannot predict whether or for how long certain trends will continue, nor can we predict to what degree these trends will impact us in the future.</w:t>
      </w:r>
    </w:p>
    <w:p>
      <w:pPr>
        <w:spacing w:after="0" w:line="18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two statistics we believe have the closest correlation to our market growth over the long-term are miles driven and the number of seven year old or older vehicles on the road. For the twelve-month period ended March 2026, miles driven in the U.S. increased 1.1% compared to the same period in the prior year, based on the latest information available from the U.S. Department of Transportation. According to the latest data provided by S&amp;P Global Mobility, the average age of light vehicles on the road in the U.S. was 12.8 years.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20, 2026, the U.S. Supreme Court invalidated tariffs imposed under the International Emergency Economic Powers Act (“IEEPA”). The President immediately introduced new tariffs under different statutory authority, though their scope and duration, and the likelihood and outcome of further legal challenges to these tariffs, remain uncertain. On April 20, 2026, the Company filed for refunds of IEEPA tariffs paid directly by the Company via the U.S. Customs and Border Protection’s consolidated administration and processing of entries tool in the automated commercial environment portal. Due to the uncertainty around the timing and amount of refunds to be received, the Company has not recognized any potential IEEPA tariff refunds within its Condensed Consolidated Financial Statements as of May 9, 2026. Tariff policy and legal challenges continue to evolve, and we will continue to monitor potential impacts on our business, financial condition and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Twelve Weeks Ended May 9, 2026</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Compared with Twelve Weeks Ended May 10, 2025</w:t>
      </w:r>
    </w:p>
    <w:p>
      <w:pPr>
        <w:spacing w:after="0" w:line="20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Net sales for the twelve weeks ended May 9, 2026, increased $376.6 million to $4.8 billion, or 8.4% over net sales of $4.5 billion for the comparable prior year period. This growth was primarily driven by an increase in total company same store sales of 3.9% on a constant currency basis and net sales of $129.0 million from new domestic and international stores. Domestic commercial sales increased $132.4 million to $1.4 billion, or 10.4% over the comparable prior year.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Same store sales, or sales for our domestic and international stores open at least one year, are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May 9, 2026</w:t>
            </w:r>
          </w:p>
        </w:tc>
        <w:tc>
          <w:tcPr>
            <w:tcW w:w="1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May 10, 2025</w:t>
            </w:r>
          </w:p>
        </w:tc>
        <w:tc>
          <w:tcPr>
            <w:tcW w:w="3200" w:type="dxa"/>
            <w:vAlign w:val="bottom"/>
            <w:tcBorders>
              <w:bottom w:val="single" w:sz="8" w:color="auto"/>
            </w:tcBorders>
            <w:gridSpan w:val="3"/>
          </w:tcPr>
          <w:p>
            <w:pPr>
              <w:jc w:val="right"/>
              <w:ind w:right="975"/>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Constant Currency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60" w:type="dxa"/>
            <w:vAlign w:val="bottom"/>
            <w:gridSpan w:val="2"/>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May 9, 2026</w:t>
            </w:r>
          </w:p>
        </w:tc>
        <w:tc>
          <w:tcPr>
            <w:tcW w:w="154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May 10, 2025</w:t>
            </w:r>
          </w:p>
        </w:tc>
        <w:tc>
          <w:tcPr>
            <w:tcW w:w="0" w:type="dxa"/>
            <w:vAlign w:val="bottom"/>
          </w:tcPr>
          <w:p>
            <w:pPr>
              <w:spacing w:after="0"/>
              <w:rPr>
                <w:sz w:val="1"/>
                <w:szCs w:val="1"/>
                <w:color w:val="auto"/>
              </w:rPr>
            </w:pPr>
          </w:p>
        </w:tc>
      </w:tr>
      <w:tr>
        <w:trPr>
          <w:trHeight w:val="210"/>
        </w:trPr>
        <w:tc>
          <w:tcPr>
            <w:tcW w:w="2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80" w:right="139" w:hanging="330"/>
        <w:spacing w:after="0" w:line="315" w:lineRule="auto"/>
        <w:tabs>
          <w:tab w:leader="none" w:pos="380"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Constant currency same store sales exclude impacts from fluctuations of foreign currency exchange rates by converting both the current year and prior year international results at the prior year foreign currency exchange rate.</w:t>
      </w:r>
    </w:p>
    <w:p>
      <w:pPr>
        <w:spacing w:after="0" w:line="137" w:lineRule="exact"/>
        <w:rPr>
          <w:sz w:val="20"/>
          <w:szCs w:val="20"/>
          <w:color w:val="auto"/>
        </w:rPr>
      </w:pPr>
    </w:p>
    <w:p>
      <w:pPr>
        <w:jc w:val="both"/>
        <w:ind w:left="60" w:right="179"/>
        <w:spacing w:after="0" w:line="261" w:lineRule="auto"/>
        <w:rPr>
          <w:sz w:val="20"/>
          <w:szCs w:val="20"/>
          <w:color w:val="auto"/>
        </w:rPr>
      </w:pPr>
      <w:r>
        <w:rPr>
          <w:rFonts w:ascii="Times New Roman" w:cs="Times New Roman" w:eastAsia="Times New Roman" w:hAnsi="Times New Roman"/>
          <w:sz w:val="18"/>
          <w:szCs w:val="18"/>
          <w:color w:val="auto"/>
        </w:rPr>
        <w:t>Gross profit for the twelve weeks ended May 9, 2026, was $2.5 billion, compared with $2.4 billion during the comparable prior year period. Gross profit, as a percentage of sales, was 52.2% for the twelve weeks ended May 9, 2026, compared to 52.7% for the comparable prior year period. The decrease in gross margin was driven by a 77 basis point unfavorable net non-cash LIFO impact, partially offset by other margin improvements.</w:t>
      </w:r>
    </w:p>
    <w:p>
      <w:pPr>
        <w:spacing w:after="0" w:line="18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Operating, selling, general and administrative expenses for the twelve weeks ended May 9, 2026, were $1.6 billion compared with $1.5 billion during the comparable prior year period. As a percentage of sales, these expenses were 33.1% compared with 33.3% during the comparable prior year period, primarily driven by strong top line sales growth.</w:t>
      </w:r>
    </w:p>
    <w:p>
      <w:pPr>
        <w:spacing w:after="0" w:line="1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Net interest expense was $110.5 million and $111.3 million for the twelve weeks ended May 9, 2026, and May 10, 2025, respectively. Average borrowings were $8.9 billion and $9.2 billion, and weighted average borrowing rates were 4.52% and 4.48% for the twelve weeks ended May 9, 2026, and May 10, 2025, respectively.</w:t>
      </w:r>
    </w:p>
    <w:p>
      <w:pPr>
        <w:spacing w:after="0" w:line="1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21.1% and 19.4% of pretax income for the twelve weeks ended May 9, 2026, and May 10, 2025, respectively. The increase is primarily due to a reduced benefit from stock options exercised compared to the prior year. The benefit from stock options exercised was $4.0 million and $22.7 million for the twelve weeks ended May 9, 2026, and the comparable prior year period, respectively.</w:t>
      </w:r>
    </w:p>
    <w:p>
      <w:pPr>
        <w:spacing w:after="0" w:line="180" w:lineRule="exact"/>
        <w:rPr>
          <w:sz w:val="20"/>
          <w:szCs w:val="20"/>
          <w:color w:val="auto"/>
        </w:rPr>
      </w:pPr>
    </w:p>
    <w:p>
      <w:pPr>
        <w:jc w:val="both"/>
        <w:ind w:left="60" w:right="179"/>
        <w:spacing w:after="0" w:line="312" w:lineRule="auto"/>
        <w:rPr>
          <w:sz w:val="20"/>
          <w:szCs w:val="20"/>
          <w:color w:val="auto"/>
        </w:rPr>
      </w:pPr>
      <w:r>
        <w:rPr>
          <w:rFonts w:ascii="Times New Roman" w:cs="Times New Roman" w:eastAsia="Times New Roman" w:hAnsi="Times New Roman"/>
          <w:sz w:val="17"/>
          <w:szCs w:val="17"/>
          <w:color w:val="auto"/>
        </w:rPr>
        <w:t>Net income for the twelve weeks ended May 9, 2026, increased by $33.1 million from the comparable prior year period to $641.5 million due to the factors set forth above, and diluted earnings per share increased by 7.7% to $38.07 from $35.36.</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Thirty-six Weeks Ended May 9, 2026</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Compared with Thirty-six Weeks Ended May 10,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sales for the thirty-six weeks ended May 9, 2026, increased $1.0 billion to $13.7 billion, or 8.3% over net sales of</w:t>
      </w:r>
    </w:p>
    <w:p>
      <w:pPr>
        <w:spacing w:after="0" w:line="27" w:lineRule="exact"/>
        <w:rPr>
          <w:sz w:val="20"/>
          <w:szCs w:val="20"/>
          <w:color w:val="auto"/>
        </w:rPr>
      </w:pPr>
    </w:p>
    <w:p>
      <w:pPr>
        <w:jc w:val="both"/>
        <w:ind w:left="60" w:right="79"/>
        <w:spacing w:after="0" w:line="277" w:lineRule="auto"/>
        <w:rPr>
          <w:sz w:val="20"/>
          <w:szCs w:val="20"/>
          <w:color w:val="auto"/>
        </w:rPr>
      </w:pPr>
      <w:r>
        <w:rPr>
          <w:rFonts w:ascii="Times New Roman" w:cs="Times New Roman" w:eastAsia="Times New Roman" w:hAnsi="Times New Roman"/>
          <w:sz w:val="17"/>
          <w:szCs w:val="17"/>
          <w:color w:val="auto"/>
        </w:rPr>
        <w:t>$12.7 billion for the comparable prior year period. This growth was primarily driven by an increase in total company same store sales of 4.0% on a constant currency basis and net sales of $354.0 million from new domestic and international stores. Domestic commercial sales increased $399.1 million to $3.8 billion, or 11.6% over the comparable prior year period.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Same store sales, or sales for our domestic and international stores open at least one year, are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Thirty-Six Weeks Ended</w:t>
            </w: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May 9, 2026</w:t>
            </w:r>
          </w:p>
        </w:tc>
        <w:tc>
          <w:tcPr>
            <w:tcW w:w="1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May 10, 2025</w:t>
            </w:r>
          </w:p>
        </w:tc>
        <w:tc>
          <w:tcPr>
            <w:tcW w:w="3200" w:type="dxa"/>
            <w:vAlign w:val="bottom"/>
            <w:tcBorders>
              <w:bottom w:val="single" w:sz="8" w:color="auto"/>
            </w:tcBorders>
            <w:gridSpan w:val="3"/>
          </w:tcPr>
          <w:p>
            <w:pPr>
              <w:jc w:val="right"/>
              <w:ind w:right="975"/>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Constant Currency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60" w:type="dxa"/>
            <w:vAlign w:val="bottom"/>
            <w:gridSpan w:val="2"/>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May 9, 2026</w:t>
            </w:r>
          </w:p>
        </w:tc>
        <w:tc>
          <w:tcPr>
            <w:tcW w:w="154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May 10, 2025</w:t>
            </w: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80" w:right="139" w:hanging="330"/>
        <w:spacing w:after="0" w:line="315" w:lineRule="auto"/>
        <w:tabs>
          <w:tab w:leader="none" w:pos="380" w:val="left"/>
        </w:tabs>
        <w:numPr>
          <w:ilvl w:val="0"/>
          <w:numId w:val="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Constant currency same store sales exclude impacts from fluctuations of foreign currency exchange rates by converting both the current year and prior year international results at the prior year foreign currency exchange rate.</w:t>
      </w:r>
    </w:p>
    <w:p>
      <w:pPr>
        <w:spacing w:after="0" w:line="137" w:lineRule="exact"/>
        <w:rPr>
          <w:sz w:val="20"/>
          <w:szCs w:val="20"/>
          <w:color w:val="auto"/>
        </w:rPr>
      </w:pPr>
    </w:p>
    <w:p>
      <w:pPr>
        <w:ind w:left="60" w:right="159"/>
        <w:spacing w:after="0" w:line="289" w:lineRule="auto"/>
        <w:rPr>
          <w:sz w:val="20"/>
          <w:szCs w:val="20"/>
          <w:color w:val="auto"/>
        </w:rPr>
      </w:pPr>
      <w:r>
        <w:rPr>
          <w:rFonts w:ascii="Times New Roman" w:cs="Times New Roman" w:eastAsia="Times New Roman" w:hAnsi="Times New Roman"/>
          <w:sz w:val="17"/>
          <w:szCs w:val="17"/>
          <w:color w:val="auto"/>
        </w:rPr>
        <w:t>Gross profit for the thirty-six weeks ended May 9, 2026, was $7.1 billion, compared with $6.7 billion during the comparable prior year period. Gross profit, as a percentage of sales, was 51.9% compared to 53.2% during the comparable prior year period. The decrease in gross margin was driven by a 142 basis point unfavorable net non-cash LIFO impact.</w:t>
      </w:r>
    </w:p>
    <w:p>
      <w:pPr>
        <w:spacing w:after="0" w:line="15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Operating, selling, general and administrative expenses for the thirty-six weeks ended May 9, 2026, were $4.7 billion compared with $4.3 billion during the comparable prior year period. As a percentage of sales, these expenses were 34.3% compared with 34.2% during the comparable prior year period. The increase was primarily driven by an increase in investments to support our growth initiatives.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interest expense was $323.9 million and $327.7 million for the thirty-six weeks ended May 9, 2026, and May 10, 2025, respectively. Average borrowings were $8.8 billion and $9.1 billion, and weighted average borrowing rates were 4.51% and 4.45% for the thirty-six week periods ended May 9, 2026, and May 10, 2025, respectively.</w:t>
      </w:r>
    </w:p>
    <w:p>
      <w:pPr>
        <w:spacing w:after="0" w:line="1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21.2% and 20.4% of pretax income for the thirty-six weeks ended May 9, 2026, and May 10, 2025, respectively. The benefit from stock options exercised for the thirty-six week period ended May 9, 2026, was $23.8 million compared to $42.3 million in the comparable prior year period.</w:t>
      </w:r>
    </w:p>
    <w:p>
      <w:pPr>
        <w:spacing w:after="0" w:line="176"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Net income for the thirty-six weeks ended May 9, 2026, decreased by $20.1 million from the comparable prior year period to $1.6 billion due to the factors set forth above, and diluted earnings per share increased by 0.5% to $96.69 from $96.17.</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primary source of our liquidity is our cash flows realized through the sale of automotive parts, products and accessories. We believe that our cash generated from operating activities and available credit, supplemented with our long-term borrowings, will provide ample liquidity to fund our operations while allowing us to make strategic investments to support growth initiatives and return excess cash to shareholders in the form of share repurchases. As of May 9, 2026, we held $253.7 million of cash and cash equivalents, as well as $2.2 billion in undrawn capacity on our Revolving Credit Agreement. We believe our sources of liquidity will continue to be adequate to fund our operations and investments to grow our business, repay our debt as it becomes due and fund our share repurchases over the short-term and long-term. In addition, we believe we have the ability to obtain alternative sources of financing, if necessary. However, decreased demand for our products or changes in customer buying patterns would negatively impact our ability to generate cash from operating activities. Decreased demand or changes in buying patterns could also impact our ability to meet the debt covenants of our credit agreements and, therefore, negatively impact the funds available under our Revolving Credit Agreement. In the event our liquidity is insufficient, we may be required to limit our spending. All of our material borrowing arrangements are described in greater detail in “Note I – Financing” in the Notes to Condensed Consolidated Financial Statements. Except for the $609.4 million increase in commercial paper and repayment of our outstanding $400 million 3.125% Senior Notes due April 2026, there have been no material changes to our contractual obligations as described in our Annual Report on Form 10-K for the year ended August 30, 2025.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For the thirty-six week periods ended May 9, 2026, and May 10, 2025, our net cash flows from operating activities provided $2.1 billion and $2.2 billion, respectively.</w:t>
      </w:r>
    </w:p>
    <w:p>
      <w:pPr>
        <w:spacing w:after="0" w:line="162"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Our net cash flows used in investing activities for the thirty-six weeks ended May 9, 2026, were $1.0 billion as compared to $917.3 million in the comparable prior year period. Capital expenditures for the thirty-six weeks ended May 9, 2026, were $997.5 million compared to $885.6 million in the comparable prior year period. The increase in capital expenditures was primarily driven by our growth initiatives, including new stores, hub and mega hub store expansion projects. During the thirty-six week periods ended May 9, 2026, and May 10, 2025, we opened 199 and 163 net new stores, respectively. Investing cash flows were impacted by our wholly-owned captive, which purchased $35.4 million and $54.3 million, and sold $17.7 million and $54.8 million in marketable debt securities during the thirty-six weeks ended May 9, 2026, and the comparable prior year period, respectively. Our net investment in tax credit equity investments was $9.2 million and $50.4 million during the thirty-six weeks ended May 9, 2026, and the comparable prior year period, respectively.</w:t>
      </w:r>
    </w:p>
    <w:p>
      <w:pPr>
        <w:spacing w:after="0" w:line="18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net cash flows used in financing activities for the thirty-six weeks ended May 9, 2026, were $1.1 billion compared to $1.3 billion in the comparable prior year period. During the thirty-six weeks ended May 9, 2026, we had no debt issuances, versus $500 million in debt issuances in the comparable prior year period. During the thirty-six week periods ended May 9, 2026, and May 10, 2025, we had $400 million and $900 million in debt repayments, respectively. Stock repurchases were $1.3 billion in the current thirty-six week period versus $1.1 billion in the comparable prior year period. The treasury stock repurchases were primarily funded by cash flows from operations. For the thirty-six week periods ended May 9, 2026, and May 10, 2025, we had $609.4 million and $225.5 million in net proceeds from commercial paper, respectively. Proceeds from the issuance of common stock from exercises of stock options for the thirty-six weeks ended May 9, 2026, and May 10, 2025, provided $67.7 million and $111.0 million, respectively.</w:t>
      </w:r>
    </w:p>
    <w:p>
      <w:pPr>
        <w:spacing w:after="0" w:line="18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During fiscal 2026, we expect to increase the investment in our business as compared to fiscal 2025. Our investments are expected to be directed primarily to our g</w:t>
      </w:r>
      <w:r>
        <w:rPr>
          <w:rFonts w:ascii="Times New Roman" w:cs="Times New Roman" w:eastAsia="Times New Roman" w:hAnsi="Times New Roman"/>
          <w:sz w:val="18"/>
          <w:szCs w:val="18"/>
          <w:color w:val="212529"/>
        </w:rPr>
        <w:t>rowth initiatives, which include new stores, hub and mega hub store expansion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projects</w:t>
      </w:r>
      <w:r>
        <w:rPr>
          <w:rFonts w:ascii="Times New Roman" w:cs="Times New Roman" w:eastAsia="Times New Roman" w:hAnsi="Times New Roman"/>
          <w:sz w:val="18"/>
          <w:szCs w:val="18"/>
          <w:color w:val="000000"/>
        </w:rPr>
        <w:t>. The amount of investments in our new stores is impacted by different factors, including whether the building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land are purchased (requiring higher investment) or leased (generally lower investment) and whether such buildings are located in the U.S., Mexico or Brazil, or located in urban or rural areas.</w:t>
      </w:r>
    </w:p>
    <w:p>
      <w:pPr>
        <w:spacing w:after="0" w:line="18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In addition to the building and land costs, our new stores require working capital, predominantly for inventories. Historically, we have negotiated extended payment terms from suppliers, reducing the working capital required and resulting in a high accounts payable to inventory ratio. We plan to continue leveraging our inventory purchases; however, our ability to do so may be limited by our suppliers’ ability to factor their receivables from us. The Company has arrangements with third-party financial institutions to confirm invoice balances owed by the Company to certain suppliers and pay the financial institutions the confirmed amounts on the invoice due dates. These arrangements allow the Company’s inventory suppliers, at their sole discretion, to enter into agreements with these financial institutions to finance the Company’s obligations to the suppliers at terms negotiated between the suppliers and the financial institutions. Supplier participation is optional and our obligations to our suppliers, including the amount and dates due, are not impacted by our suppliers’ decision to enter into an agreement with a third-party financial institution. A downgrade in our credit or changes in the financial markets could limit the financial institutions’ and our suppliers’ willingness to participate in these arrangements; however, we do not believe such risk would have a material impact on our working capital or cash flows. We plan to continue negotiating extended terms with our suppliers, benefitting our working capital and resulting in a high accounts payable to inventory ratio. We had an accounts payable to inventory ratio of 111.1% at May 9, 2026, and 115.6% at May 10, 2025.</w:t>
      </w:r>
    </w:p>
    <w:p>
      <w:pPr>
        <w:spacing w:after="0" w:line="19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Depending on the timing and magnitude of our future investments (either in the form of leased or purchased properties or acquisitions), we anticipate that we will rely primarily on internally generated funds and available borrowing capacity to support a majority of our capital expenditures, working capital requirements and stock repurchases. The balance may be funded through new borrowings. We anticipate that we will be able to obtain such financing based on our current credit ratings and favorable experiences in the debt markets in the past.</w:t>
      </w:r>
    </w:p>
    <w:p>
      <w:pPr>
        <w:spacing w:after="0" w:line="183"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For the trailing four quarters ended May 9, 2026, our adjusted after-tax return on invested capital (“ROIC”), which is a non-GAAP measure, was 36.3% as compared to 43.5% for the comparable prior year period. Adjusted ROIC is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calculated as after-tax operating profit (excluding rent charges) divided by invested capital (which includes a factor to capitalize operating leases). We use adjusted ROIC to evaluate whether we are effectively using our capital resources and believe it is an important indicator of our overall operating performance. Refer to the “Reconciliation of Non-GAAP Financial Measures” section for further details of our calculation.</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212529"/>
        </w:rPr>
        <w:t>Our adjusted debt to earnings before interest, taxes, depreciation, amortization, rent and share-based compensation expense (“EBITDAR”) ratio, which is a non-GAAP measure, was 2.5:1 as of May 9, 2026, and May 10, 2025. We calculate adjusted debt as the sum of total debt, financing lease liabilities and rent times six; and we calculate EBITDAR by adding interest, taxes, depreciation, amortization, rent, and share-based compensation expense to net income. Adjusted debt to EBITDAR is calculated on a trailing four quarter basis. We target our debt levels to a ratio of adjusted debt to EBITDAR in order to maintain our investment grade credit ratings. We believe this is important information for the management of our debt levels. To the extent EBITDAR increases, we expect our debt levels to increase; conversely, if EBITDAR decreases, we would expect our debt levels to decrease. Refer to the “Reconciliation of Non-GAAP Financial Measures” section for further details of our calculation.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Facilities</w:t>
      </w:r>
    </w:p>
    <w:p>
      <w:pPr>
        <w:spacing w:after="0" w:line="22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See “Note I – Financing” in the Notes to the Condensed Consolidated Financial Statements for information concerning our Senior Notes, Revolving Credit Agreement, commercial paper borrowings, outstanding letters of credit and surety bonds commitment.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Repurchases</w:t>
      </w:r>
    </w:p>
    <w:p>
      <w:pPr>
        <w:spacing w:after="0" w:line="227" w:lineRule="exact"/>
        <w:rPr>
          <w:sz w:val="20"/>
          <w:szCs w:val="20"/>
          <w:color w:val="auto"/>
        </w:rPr>
      </w:pPr>
    </w:p>
    <w:p>
      <w:pPr>
        <w:ind w:left="60" w:right="899"/>
        <w:spacing w:after="0" w:line="282" w:lineRule="auto"/>
        <w:rPr>
          <w:sz w:val="20"/>
          <w:szCs w:val="20"/>
          <w:color w:val="auto"/>
        </w:rPr>
      </w:pPr>
      <w:r>
        <w:rPr>
          <w:rFonts w:ascii="Times New Roman" w:cs="Times New Roman" w:eastAsia="Times New Roman" w:hAnsi="Times New Roman"/>
          <w:sz w:val="18"/>
          <w:szCs w:val="18"/>
          <w:color w:val="auto"/>
        </w:rPr>
        <w:t>See “Note J – Stock Repurchase Program” in the Notes to the Condensed Consolidated Financial Statements for information on our share repurchases.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includes certain financial measures not derived in accordance with GAAP, including Adjusted After-Tax ROIC and Adjusted Debt to EBITDAR. Non-GAAP financial measures should not be used as a substitute for GAAP financial measures, or considered in isolation, for the purpose of analyzing our operating performance, financial position or cash flows. However, we have presented non-GAAP financial measures, as we believe they provide additional information that is useful to investors. Additionally, our management uses these non-GAAP financial measures to review and assess our underlying operating results and the Compensation Committee of the Board uses select measures to determine payments of performance-based compensation against pre-established targets.</w:t>
      </w:r>
    </w:p>
    <w:p>
      <w:pPr>
        <w:spacing w:after="0" w:line="192"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Adjusted After-Tax ROIC and Adjusted Debt to EBITDAR provide additional information for determining our optimal capital structure and are used to assist management in evaluating performance and in making appropriate business decisions to maximize stockholders’ value.</w:t>
      </w:r>
    </w:p>
    <w:p>
      <w:pPr>
        <w:spacing w:after="0" w:line="176"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We have included reconciliations of this information to the most comparable GAAP measures in the following reconciliation tables.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 Adjusted After-Tax ROIC</w:t>
      </w:r>
    </w:p>
    <w:p>
      <w:pPr>
        <w:spacing w:after="0" w:line="22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tables calculate the percentages of adjusted ROIC for the trailing four quarters ended May 9, 2026, and May 10, 2025.</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85"/>
              </w:rPr>
              <w:t>B</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A-B=C</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Thirty-Six</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Sixteen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Thirty-Six</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Trailing Four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Quarters Ended</w:t>
            </w:r>
          </w:p>
        </w:tc>
        <w:tc>
          <w:tcPr>
            <w:tcW w:w="0" w:type="dxa"/>
            <w:vAlign w:val="bottom"/>
          </w:tcPr>
          <w:p>
            <w:pPr>
              <w:spacing w:after="0"/>
              <w:rPr>
                <w:sz w:val="1"/>
                <w:szCs w:val="1"/>
                <w:color w:val="auto"/>
              </w:rPr>
            </w:pPr>
          </w:p>
        </w:tc>
      </w:tr>
      <w:tr>
        <w:trPr>
          <w:trHeight w:val="148"/>
        </w:trPr>
        <w:tc>
          <w:tcPr>
            <w:tcW w:w="2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August 30,</w:t>
            </w:r>
          </w:p>
        </w:tc>
        <w:tc>
          <w:tcPr>
            <w:tcW w:w="22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May 10,</w:t>
            </w:r>
          </w:p>
        </w:tc>
        <w:tc>
          <w:tcPr>
            <w:tcW w:w="28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August 30,</w:t>
            </w:r>
          </w:p>
        </w:tc>
        <w:tc>
          <w:tcPr>
            <w:tcW w:w="220" w:type="dxa"/>
            <w:vAlign w:val="bottom"/>
            <w:gridSpan w:val="3"/>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May 9,</w:t>
            </w:r>
          </w:p>
        </w:tc>
        <w:tc>
          <w:tcPr>
            <w:tcW w:w="28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May 9,</w:t>
            </w:r>
          </w:p>
        </w:tc>
        <w:tc>
          <w:tcPr>
            <w:tcW w:w="0" w:type="dxa"/>
            <w:vAlign w:val="bottom"/>
          </w:tcPr>
          <w:p>
            <w:pPr>
              <w:spacing w:after="0"/>
              <w:rPr>
                <w:sz w:val="1"/>
                <w:szCs w:val="1"/>
                <w:color w:val="auto"/>
              </w:rPr>
            </w:pPr>
          </w:p>
        </w:tc>
      </w:tr>
      <w:tr>
        <w:trPr>
          <w:trHeight w:val="173"/>
        </w:trPr>
        <w:tc>
          <w:tcPr>
            <w:tcW w:w="27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1,661,297</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1,641,174</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2,478,124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Rent expense</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Tax effect</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(134,335)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(199,430)</w:t>
            </w:r>
          </w:p>
        </w:tc>
        <w:tc>
          <w:tcPr>
            <w:tcW w:w="0" w:type="dxa"/>
            <w:vAlign w:val="bottom"/>
          </w:tcPr>
          <w:p>
            <w:pPr>
              <w:spacing w:after="0"/>
              <w:rPr>
                <w:sz w:val="1"/>
                <w:szCs w:val="1"/>
                <w:color w:val="auto"/>
              </w:rPr>
            </w:pPr>
          </w:p>
        </w:tc>
      </w:tr>
      <w:tr>
        <w:trPr>
          <w:trHeight w:val="249"/>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after-tax return</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3,241,820</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2,172,804</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1,069,016</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2,168,474</w:t>
            </w: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3,237,490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Average debt</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Average stockholders’ deficit</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Add: Rent x 6</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Average finance lease liabilities</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413,733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Invested capital</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8,912,183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after-tax ROIC</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A-B=C</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Thirty-Six</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Seventeen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Thirty-Six</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Trailing Four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Quarters Ended</w:t>
            </w:r>
          </w:p>
        </w:tc>
        <w:tc>
          <w:tcPr>
            <w:tcW w:w="0" w:type="dxa"/>
            <w:vAlign w:val="bottom"/>
          </w:tcPr>
          <w:p>
            <w:pPr>
              <w:spacing w:after="0"/>
              <w:rPr>
                <w:sz w:val="1"/>
                <w:szCs w:val="1"/>
                <w:color w:val="auto"/>
              </w:rPr>
            </w:pPr>
          </w:p>
        </w:tc>
      </w:tr>
      <w:tr>
        <w:trPr>
          <w:trHeight w:val="148"/>
        </w:trPr>
        <w:tc>
          <w:tcPr>
            <w:tcW w:w="2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August 31,</w:t>
            </w:r>
          </w:p>
        </w:tc>
        <w:tc>
          <w:tcPr>
            <w:tcW w:w="22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May 4,</w:t>
            </w:r>
          </w:p>
        </w:tc>
        <w:tc>
          <w:tcPr>
            <w:tcW w:w="28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August 31,</w:t>
            </w:r>
          </w:p>
        </w:tc>
        <w:tc>
          <w:tcPr>
            <w:tcW w:w="220" w:type="dxa"/>
            <w:vAlign w:val="bottom"/>
            <w:gridSpan w:val="3"/>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May 10,</w:t>
            </w:r>
          </w:p>
        </w:tc>
        <w:tc>
          <w:tcPr>
            <w:tcW w:w="28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May 10,</w:t>
            </w:r>
          </w:p>
        </w:tc>
        <w:tc>
          <w:tcPr>
            <w:tcW w:w="0" w:type="dxa"/>
            <w:vAlign w:val="bottom"/>
          </w:tcPr>
          <w:p>
            <w:pPr>
              <w:spacing w:after="0"/>
              <w:rPr>
                <w:sz w:val="1"/>
                <w:szCs w:val="1"/>
                <w:color w:val="auto"/>
              </w:rPr>
            </w:pPr>
          </w:p>
        </w:tc>
      </w:tr>
      <w:tr>
        <w:trPr>
          <w:trHeight w:val="173"/>
        </w:trPr>
        <w:tc>
          <w:tcPr>
            <w:tcW w:w="27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2,662,427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1,760,219</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1,661,297</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Rent expense</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Tax effect</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(123,371)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(133,043)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Adjusted after-tax return</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3,376,448</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2,235,734</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1,140,714</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2,174,096</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3,314,810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Average debt</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Average stockholders' deficit</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Add: Rent x 6</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Average finance lease liabilities</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Invested capital</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7,626,455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after-tax ROIC</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 Adjusted Debt to EBITDAR</w:t>
      </w:r>
    </w:p>
    <w:p>
      <w:pPr>
        <w:spacing w:after="0" w:line="22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tables calculate the ratio of adjusted debt to EBITDAR for the trailing four quarters ended May 9, 2026, and May 10, 2025.</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2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85"/>
              </w:rPr>
              <w:t>B</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A-B=C</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Thirty-Six</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Sixteen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Thirty-Six</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Trailing Four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Weeks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8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 Ended</w:t>
            </w:r>
          </w:p>
        </w:tc>
        <w:tc>
          <w:tcPr>
            <w:tcW w:w="0" w:type="dxa"/>
            <w:vAlign w:val="bottom"/>
          </w:tcPr>
          <w:p>
            <w:pPr>
              <w:spacing w:after="0"/>
              <w:rPr>
                <w:sz w:val="1"/>
                <w:szCs w:val="1"/>
                <w:color w:val="auto"/>
              </w:rPr>
            </w:pPr>
          </w:p>
        </w:tc>
      </w:tr>
      <w:tr>
        <w:trPr>
          <w:trHeight w:val="149"/>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ratio)</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August 30,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May 10,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August 30,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May 9,</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May 9,</w:t>
            </w:r>
          </w:p>
        </w:tc>
        <w:tc>
          <w:tcPr>
            <w:tcW w:w="0" w:type="dxa"/>
            <w:vAlign w:val="bottom"/>
          </w:tcPr>
          <w:p>
            <w:pPr>
              <w:spacing w:after="0"/>
              <w:rPr>
                <w:sz w:val="1"/>
                <w:szCs w:val="1"/>
                <w:color w:val="auto"/>
              </w:rPr>
            </w:pPr>
          </w:p>
        </w:tc>
      </w:tr>
      <w:tr>
        <w:trPr>
          <w:trHeight w:val="173"/>
        </w:trPr>
        <w:tc>
          <w:tcPr>
            <w:tcW w:w="2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vMerge w:val="continue"/>
          </w:tcPr>
          <w:p>
            <w:pPr>
              <w:spacing w:after="0"/>
              <w:rPr>
                <w:sz w:val="15"/>
                <w:szCs w:val="15"/>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gridSpan w:val="2"/>
            <w:vMerge w:val="continue"/>
          </w:tcPr>
          <w:p>
            <w:pPr>
              <w:spacing w:after="0"/>
              <w:rPr>
                <w:sz w:val="15"/>
                <w:szCs w:val="15"/>
                <w:color w:val="auto"/>
              </w:rPr>
            </w:pPr>
          </w:p>
        </w:tc>
        <w:tc>
          <w:tcPr>
            <w:tcW w:w="9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vMerge w:val="continue"/>
          </w:tcPr>
          <w:p>
            <w:pPr>
              <w:spacing w:after="0"/>
              <w:rPr>
                <w:sz w:val="15"/>
                <w:szCs w:val="15"/>
                <w:color w:val="auto"/>
              </w:rPr>
            </w:pPr>
          </w:p>
        </w:tc>
        <w:tc>
          <w:tcPr>
            <w:tcW w:w="9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80" w:type="dxa"/>
            <w:vAlign w:val="bottom"/>
            <w:gridSpan w:val="2"/>
            <w:vMerge w:val="continue"/>
          </w:tcPr>
          <w:p>
            <w:pPr>
              <w:spacing w:after="0"/>
              <w:rPr>
                <w:sz w:val="15"/>
                <w:szCs w:val="15"/>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1,661,297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836,950</w:t>
            </w:r>
          </w:p>
        </w:tc>
        <w:tc>
          <w:tcPr>
            <w:tcW w:w="24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1,641,174  ​​​$  2,478,124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Add: Interest expense,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636,085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425,057</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441,278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EBIT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3,610,156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2,414,090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1,196,066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2,406,381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3,602,447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Depreciation and amortization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613,199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415,787</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00"/>
              <w:spacing w:after="0" w:line="216" w:lineRule="exact"/>
              <w:rPr>
                <w:sz w:val="20"/>
                <w:szCs w:val="20"/>
                <w:color w:val="auto"/>
              </w:rPr>
            </w:pPr>
            <w:r>
              <w:rPr>
                <w:rFonts w:ascii="Times New Roman" w:cs="Times New Roman" w:eastAsia="Times New Roman" w:hAnsi="Times New Roman"/>
                <w:sz w:val="17"/>
                <w:szCs w:val="17"/>
                <w:color w:val="auto"/>
              </w:rPr>
              <w:t>Rent expense</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Share-based expense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85,584</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EBITDAR</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4,811,103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3,233,567</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1,577,536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3,310,002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4,887,538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Add: Rent x 6</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2,920,674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debt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$ 12,392,514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debt to EBITDAR</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85"/>
              </w:rPr>
              <w:t>B</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A-B=C</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Thirty-Six</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Seventeen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Thirty-Six</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Trailing Four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Weeks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8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 Ended</w:t>
            </w:r>
          </w:p>
        </w:tc>
        <w:tc>
          <w:tcPr>
            <w:tcW w:w="0" w:type="dxa"/>
            <w:vAlign w:val="bottom"/>
          </w:tcPr>
          <w:p>
            <w:pPr>
              <w:spacing w:after="0"/>
              <w:rPr>
                <w:sz w:val="1"/>
                <w:szCs w:val="1"/>
                <w:color w:val="auto"/>
              </w:rPr>
            </w:pPr>
          </w:p>
        </w:tc>
      </w:tr>
      <w:tr>
        <w:trPr>
          <w:trHeight w:val="148"/>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ratio)</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August 31,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May 4,</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August 31,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May 10,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May 10,</w:t>
            </w:r>
          </w:p>
        </w:tc>
        <w:tc>
          <w:tcPr>
            <w:tcW w:w="0" w:type="dxa"/>
            <w:vAlign w:val="bottom"/>
          </w:tcPr>
          <w:p>
            <w:pPr>
              <w:spacing w:after="0"/>
              <w:rPr>
                <w:sz w:val="1"/>
                <w:szCs w:val="1"/>
                <w:color w:val="auto"/>
              </w:rPr>
            </w:pPr>
          </w:p>
        </w:tc>
      </w:tr>
      <w:tr>
        <w:trPr>
          <w:trHeight w:val="173"/>
        </w:trPr>
        <w:tc>
          <w:tcPr>
            <w:tcW w:w="2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vMerge w:val="continue"/>
          </w:tcPr>
          <w:p>
            <w:pPr>
              <w:spacing w:after="0"/>
              <w:rPr>
                <w:sz w:val="15"/>
                <w:szCs w:val="15"/>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gridSpan w:val="2"/>
            <w:vMerge w:val="continue"/>
          </w:tcPr>
          <w:p>
            <w:pPr>
              <w:spacing w:after="0"/>
              <w:rPr>
                <w:sz w:val="15"/>
                <w:szCs w:val="15"/>
                <w:color w:val="auto"/>
              </w:rPr>
            </w:pPr>
          </w:p>
        </w:tc>
        <w:tc>
          <w:tcPr>
            <w:tcW w:w="9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vMerge w:val="continue"/>
          </w:tcPr>
          <w:p>
            <w:pPr>
              <w:spacing w:after="0"/>
              <w:rPr>
                <w:sz w:val="15"/>
                <w:szCs w:val="15"/>
                <w:color w:val="auto"/>
              </w:rPr>
            </w:pPr>
          </w:p>
        </w:tc>
        <w:tc>
          <w:tcPr>
            <w:tcW w:w="9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gridSpan w:val="2"/>
            <w:vMerge w:val="continue"/>
          </w:tcPr>
          <w:p>
            <w:pPr>
              <w:spacing w:after="0"/>
              <w:rPr>
                <w:sz w:val="15"/>
                <w:szCs w:val="15"/>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2,662,427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902,208</w:t>
            </w:r>
          </w:p>
        </w:tc>
        <w:tc>
          <w:tcPr>
            <w:tcW w:w="24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1,661,297  ​​​$  2,563,505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Add: Interest expense,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674,703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433,382</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425,057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EBIT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3,788,708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2,492,027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2,414,090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3,710,771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Depreciation and amortization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549,755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374,416</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415,787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00"/>
              <w:spacing w:after="0" w:line="216" w:lineRule="exact"/>
              <w:rPr>
                <w:sz w:val="20"/>
                <w:szCs w:val="20"/>
                <w:color w:val="auto"/>
              </w:rPr>
            </w:pPr>
            <w:r>
              <w:rPr>
                <w:rFonts w:ascii="Times New Roman" w:cs="Times New Roman" w:eastAsia="Times New Roman" w:hAnsi="Times New Roman"/>
                <w:sz w:val="17"/>
                <w:szCs w:val="17"/>
                <w:color w:val="auto"/>
              </w:rPr>
              <w:t>Rent expense</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Share-based expense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71,314</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120,516</w:t>
            </w:r>
          </w:p>
        </w:tc>
        <w:tc>
          <w:tcPr>
            <w:tcW w:w="0" w:type="dxa"/>
            <w:vAlign w:val="bottom"/>
          </w:tcPr>
          <w:p>
            <w:pPr>
              <w:spacing w:after="0"/>
              <w:rPr>
                <w:sz w:val="1"/>
                <w:szCs w:val="1"/>
                <w:color w:val="auto"/>
              </w:rPr>
            </w:pPr>
          </w:p>
        </w:tc>
      </w:tr>
      <w:tr>
        <w:trPr>
          <w:trHeight w:val="25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EBITDAR</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4,892,402</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3,238,217</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1,654,185</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3,233,567</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4,887,752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Add: Rent x 6</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2,792,034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debt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$ 12,052,631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debt to EBITDAR</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vMerge w:val="restart"/>
          </w:tcPr>
          <w:p>
            <w:pPr>
              <w:jc w:val="right"/>
              <w:ind w:right="557"/>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0" w:right="479" w:hanging="330"/>
        <w:spacing w:after="0" w:line="192" w:lineRule="auto"/>
        <w:tabs>
          <w:tab w:leader="none" w:pos="380" w:val="left"/>
        </w:tabs>
        <w:numPr>
          <w:ilvl w:val="0"/>
          <w:numId w:val="8"/>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6"/>
          <w:szCs w:val="16"/>
          <w:i w:val="1"/>
          <w:iCs w:val="1"/>
          <w:color w:val="auto"/>
        </w:rPr>
        <w:t>The table below outlines the calculation of rent expense and reconciles rent expense to total lease cost, per ASC 842, the most directly comparable GAAP financial measure, for the trailing four quarters ended May 9, 2026, and May 10, 2025.</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Trailing Four Quarters Ended</w:t>
            </w: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May 9, 2026</w:t>
            </w: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May 10,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 per ASC 842</w:t>
            </w:r>
          </w:p>
        </w:tc>
        <w:tc>
          <w:tcPr>
            <w:tcW w:w="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Less: Finance lease interest and amortization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(124,052)</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Variable operating lease components, related to</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and common area maintenance</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(46,495)</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486,779</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hanging="330"/>
        <w:spacing w:after="0" w:line="238" w:lineRule="auto"/>
        <w:tabs>
          <w:tab w:leader="none" w:pos="380" w:val="left"/>
        </w:tabs>
        <w:numPr>
          <w:ilvl w:val="0"/>
          <w:numId w:val="9"/>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6"/>
          <w:szCs w:val="16"/>
          <w:i w:val="1"/>
          <w:iCs w:val="1"/>
          <w:color w:val="auto"/>
        </w:rPr>
        <w:t>Effective tax rate over trailing four quarters ended May 9, 2026, and May 10, 2025, was 20.8% and 20.6%, respectively.</w:t>
      </w:r>
    </w:p>
    <w:p>
      <w:pPr>
        <w:spacing w:after="0" w:line="10" w:lineRule="exact"/>
        <w:rPr>
          <w:rFonts w:ascii="Times New Roman" w:cs="Times New Roman" w:eastAsia="Times New Roman" w:hAnsi="Times New Roman"/>
          <w:sz w:val="29"/>
          <w:szCs w:val="29"/>
          <w:i w:val="1"/>
          <w:iCs w:val="1"/>
          <w:color w:val="auto"/>
          <w:vertAlign w:val="superscript"/>
        </w:rPr>
      </w:pPr>
    </w:p>
    <w:p>
      <w:pPr>
        <w:ind w:left="380" w:hanging="330"/>
        <w:spacing w:after="0" w:line="182" w:lineRule="auto"/>
        <w:tabs>
          <w:tab w:leader="none" w:pos="380" w:val="left"/>
        </w:tabs>
        <w:numPr>
          <w:ilvl w:val="0"/>
          <w:numId w:val="9"/>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3"/>
          <w:szCs w:val="13"/>
          <w:i w:val="1"/>
          <w:iCs w:val="1"/>
          <w:color w:val="auto"/>
        </w:rPr>
        <w:t>All averages are computed based on trailing five quarter balances.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Refer to “Note A – General” in the Notes to Condensed Consolidated Financial Statements for the discussion of recently issued accounting pronouncements.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described in Management’s Discussion and Analysis of Financial Condition and Results of Operations in our Annual Report on Form 10-K for the year ended August 30, 2025. There have been no significant changes to our critical accounting estimates since the filing of our Annual Report on Form 10-K for the year ended August 30,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At May 9, 2026, the only material change to our instruments and positions that are sensitive to market risk since the disclosures in our Annual Report on Form 10-K for the year ended August 30, 2025, were the $609.4 million increase in commercial paper and repayment of our outstanding $400 million 3.125% Senior Notes due April 2026.</w:t>
      </w:r>
    </w:p>
    <w:p>
      <w:pPr>
        <w:spacing w:after="0" w:line="1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fair value of the Company’s debt was estimated at $9.0 billion and $8.9 billion as of May 9, 2026, and August 30, 2025, respectively, based on the quoted market prices for the same or similar issues or on the current rates available to the Company for debt of the same terms (Level 2). Such fair value is greater than the carrying value of debt by $32.7 million and $94.4 million at May 9, 2026, and August 30, 2025, respectively, and reflects their face amount, adjusted for any unamortized debt issuance costs and discounts. We had $1.4 billion and $748.6 million of variable rate debt outstanding at May 9, 2026, and at August 30, 2025, respectively. At these borrowing levels for variable rate debt, a one percentage point increase in interest rates would have an unfavorable annual impact on our pre-tax earnings and cash flows of $13.6 million in fiscal 2026. The primary interest rate exposure is based on the federal funds rate. We had outstanding fixed rate debt of $7.7 billion, net of unamortized debt issuance costs of $41.5 million at May 9, 2026, and $8.1 billion, net of unamortized debt issuance costs of $48.8 million at August 30, 2025. A one percentage point increase in interest rates would have reduced the fair value of our fixed rate debt by $284.0 million at May 9, 2026.</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12529"/>
        </w:rPr>
        <w:t>May 9</w:t>
      </w:r>
      <w:r>
        <w:rPr>
          <w:rFonts w:ascii="Times New Roman" w:cs="Times New Roman" w:eastAsia="Times New Roman" w:hAnsi="Times New Roman"/>
          <w:sz w:val="18"/>
          <w:szCs w:val="18"/>
          <w:color w:val="auto"/>
        </w:rPr>
        <w:t xml:space="preserve">, 2026, an evaluation was performed under the supervision and with the participation of our management, including the Chief Executive Officer and Chief Financial Officer, of the effectiveness of the design and operation of our disclosure controls and procedures, as defined in Rules 13a-15(e) and 15d-15(e) under the Exchange Act, as amended. Based on that evaluation, our management, including the Chief Executive Officer and Chief Financial Officer, concluded that our disclosure controls and procedures were effective as of </w:t>
      </w:r>
      <w:r>
        <w:rPr>
          <w:rFonts w:ascii="Times New Roman" w:cs="Times New Roman" w:eastAsia="Times New Roman" w:hAnsi="Times New Roman"/>
          <w:sz w:val="18"/>
          <w:szCs w:val="18"/>
          <w:color w:val="212529"/>
        </w:rPr>
        <w:t>May 9</w:t>
      </w:r>
      <w:r>
        <w:rPr>
          <w:rFonts w:ascii="Times New Roman" w:cs="Times New Roman" w:eastAsia="Times New Roman" w:hAnsi="Times New Roman"/>
          <w:sz w:val="18"/>
          <w:szCs w:val="18"/>
          <w:color w:val="auto"/>
        </w:rPr>
        <w:t>, 2026.</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89"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 xml:space="preserve">As part of a multi-year system implementation, the Company began utilizing certain aspects of a new enterprise resource planning (“ERP”) system during the quarter ended </w:t>
      </w:r>
      <w:r>
        <w:rPr>
          <w:rFonts w:ascii="Times New Roman" w:cs="Times New Roman" w:eastAsia="Times New Roman" w:hAnsi="Times New Roman"/>
          <w:sz w:val="18"/>
          <w:szCs w:val="18"/>
          <w:color w:val="212529"/>
        </w:rPr>
        <w:t>February 14</w:t>
      </w:r>
      <w:r>
        <w:rPr>
          <w:rFonts w:ascii="Times New Roman" w:cs="Times New Roman" w:eastAsia="Times New Roman" w:hAnsi="Times New Roman"/>
          <w:sz w:val="18"/>
          <w:szCs w:val="18"/>
          <w:color w:val="auto"/>
        </w:rPr>
        <w:t>, 2026. Eventually, this ERP system will replace our existing core financial systems. The ERP system is designed to accurately maintain the Company’s financial records, process transactions and provide timely information to its management team. While we believe that this new ERP system will enhance internal controls over financial reporting, there are inherent risks in implementing a new ERP system. Accordingly, we will continue to evaluate the design and operating effectiveness of these controls.</w:t>
      </w:r>
    </w:p>
    <w:p>
      <w:pPr>
        <w:spacing w:after="0" w:line="16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other changes in our internal control over financial reporting (as defined in Rule 13a-15(f) of the Exchange Act) that occurred during the quarter ended </w:t>
      </w:r>
      <w:r>
        <w:rPr>
          <w:rFonts w:ascii="Times New Roman" w:cs="Times New Roman" w:eastAsia="Times New Roman" w:hAnsi="Times New Roman"/>
          <w:sz w:val="18"/>
          <w:szCs w:val="18"/>
          <w:color w:val="212529"/>
        </w:rPr>
        <w:t>May 9</w:t>
      </w:r>
      <w:r>
        <w:rPr>
          <w:rFonts w:ascii="Times New Roman" w:cs="Times New Roman" w:eastAsia="Times New Roman" w:hAnsi="Times New Roman"/>
          <w:sz w:val="18"/>
          <w:szCs w:val="18"/>
          <w:color w:val="auto"/>
        </w:rPr>
        <w:t>, 2026, that have materially affected, or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As of the date of this filing, there have been no additional material legal proceedings or material developments in the legal proceedings disclosed in Part I, Item 3, of our Annual Report on Form 10-K for the fiscal year ended August 30, 2025.</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our Annual Report on Form 10-K for the fiscal year ended August 30,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Shares of common stock repurchased by the Company during the quarter ended </w:t>
      </w:r>
      <w:r>
        <w:rPr>
          <w:rFonts w:ascii="Times New Roman" w:cs="Times New Roman" w:eastAsia="Times New Roman" w:hAnsi="Times New Roman"/>
          <w:sz w:val="18"/>
          <w:szCs w:val="18"/>
          <w:color w:val="212529"/>
        </w:rPr>
        <w:t>May 9</w:t>
      </w:r>
      <w:r>
        <w:rPr>
          <w:rFonts w:ascii="Times New Roman" w:cs="Times New Roman" w:eastAsia="Times New Roman" w:hAnsi="Times New Roman"/>
          <w:sz w:val="18"/>
          <w:szCs w:val="18"/>
          <w:color w:val="auto"/>
        </w:rPr>
        <w:t>, 2026, were as follows: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20" w:type="dxa"/>
            <w:vAlign w:val="bottom"/>
            <w:gridSpan w:val="2"/>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spacing w:after="0"/>
              <w:rPr>
                <w:sz w:val="14"/>
                <w:szCs w:val="14"/>
                <w:color w:val="auto"/>
              </w:rPr>
            </w:pPr>
          </w:p>
        </w:tc>
        <w:tc>
          <w:tcPr>
            <w:tcW w:w="16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Total Number of</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Value that May Yet</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48"/>
        </w:trPr>
        <w:tc>
          <w:tcPr>
            <w:tcW w:w="262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73"/>
        </w:trPr>
        <w:tc>
          <w:tcPr>
            <w:tcW w:w="26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February 15, 2026 to March 14, 2026</w:t>
            </w:r>
          </w:p>
        </w:tc>
        <w:tc>
          <w:tcPr>
            <w:tcW w:w="1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45,537</w:t>
            </w:r>
          </w:p>
        </w:tc>
        <w:tc>
          <w:tcPr>
            <w:tcW w:w="40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3,768.50</w:t>
            </w:r>
          </w:p>
        </w:tc>
        <w:tc>
          <w:tcPr>
            <w:tcW w:w="1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45,537</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1,218,863,366</w:t>
            </w: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March 15, 2026 to April 11, 2026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62,427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3,441.04</w:t>
            </w:r>
          </w:p>
        </w:tc>
        <w:tc>
          <w:tcPr>
            <w:tcW w:w="1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62,427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1,004,049,278</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April 12, 2026 to May 9, 2026</w:t>
            </w:r>
          </w:p>
        </w:tc>
        <w:tc>
          <w:tcPr>
            <w:tcW w:w="1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55,730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3,586.69</w:t>
            </w:r>
          </w:p>
        </w:tc>
        <w:tc>
          <w:tcPr>
            <w:tcW w:w="1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55,730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804,163,027</w:t>
            </w:r>
          </w:p>
        </w:tc>
        <w:tc>
          <w:tcPr>
            <w:tcW w:w="0" w:type="dxa"/>
            <w:vAlign w:val="bottom"/>
          </w:tcPr>
          <w:p>
            <w:pPr>
              <w:spacing w:after="0"/>
              <w:rPr>
                <w:sz w:val="1"/>
                <w:szCs w:val="1"/>
                <w:color w:val="auto"/>
              </w:rPr>
            </w:pPr>
          </w:p>
        </w:tc>
      </w:tr>
      <w:tr>
        <w:trPr>
          <w:trHeight w:val="142"/>
        </w:trPr>
        <w:tc>
          <w:tcPr>
            <w:tcW w:w="26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163,694</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3,581.72</w:t>
            </w:r>
          </w:p>
        </w:tc>
        <w:tc>
          <w:tcPr>
            <w:tcW w:w="18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163,694</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804,163,027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For more information on our stock repurchases, see “Note J – Stock Repurchase Program” in the Notes to Condensed Consolidated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12529"/>
        </w:rPr>
        <w:t>Insider Trading Arrangements</w:t>
      </w:r>
    </w:p>
    <w:p>
      <w:pPr>
        <w:spacing w:after="0" w:line="22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212529"/>
        </w:rPr>
        <w:t>During our fiscal quarter ended May 9, 2026, none of our directors or officers (as defined in Rule 16a-1(f) of the Exchange Act) adopted or terminated a “Rule 10b5-1 trading arrangement” or a “non-Rule 10b5-1 trading arrangement” (as such terms are defined in Item 408 of Regulation S-K).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39" w:lineRule="exact"/>
        <w:rPr>
          <w:sz w:val="20"/>
          <w:szCs w:val="20"/>
          <w:color w:val="auto"/>
        </w:rPr>
      </w:pPr>
    </w:p>
    <w:p>
      <w:pPr>
        <w:ind w:left="1020" w:right="79" w:hanging="344"/>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3.1 </w:t>
      </w:r>
      <w:hyperlink r:id="rId69">
        <w:r>
          <w:rPr>
            <w:rFonts w:ascii="Times New Roman" w:cs="Times New Roman" w:eastAsia="Times New Roman" w:hAnsi="Times New Roman"/>
            <w:sz w:val="18"/>
            <w:szCs w:val="18"/>
            <w:u w:val="single" w:color="auto"/>
            <w:color w:val="0000EE"/>
          </w:rPr>
          <w:t>Restated Articles of Incorporation of AutoZone, Inc. Incorporated by reference to Exhibit 3.1 to the Quarterly</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Report on Form 10-Q for the quarter ended February 13, 1999.</w:t>
        </w:r>
      </w:hyperlink>
    </w:p>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439" w:hanging="344"/>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3.2 </w:t>
      </w:r>
      <w:hyperlink r:id="rId71">
        <w:r>
          <w:rPr>
            <w:rFonts w:ascii="Times New Roman" w:cs="Times New Roman" w:eastAsia="Times New Roman" w:hAnsi="Times New Roman"/>
            <w:sz w:val="18"/>
            <w:szCs w:val="18"/>
            <w:u w:val="single" w:color="auto"/>
            <w:color w:val="0000EE"/>
          </w:rPr>
          <w:t>Ninth Amended and Restated By-Laws of AutoZone, Inc. Incorporated by reference to Exhibit 3.1 to the</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Current Report on Form 8-K dated April 1, 2025.</w:t>
        </w:r>
      </w:hyperlink>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0000EE"/>
        </w:rPr>
        <w:t>Letter Regarding Unaudited Interim Financial Statements.</w:t>
      </w:r>
    </w:p>
    <w:p>
      <w:pPr>
        <w:spacing w:after="0" w:line="225" w:lineRule="exact"/>
        <w:rPr>
          <w:sz w:val="20"/>
          <w:szCs w:val="20"/>
          <w:color w:val="auto"/>
        </w:rPr>
      </w:pPr>
    </w:p>
    <w:p>
      <w:pPr>
        <w:ind w:left="1020" w:right="279" w:hanging="523"/>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Principal Executive Officer Pursuant to Rules 13a-14(a) and 15d-14(a) under the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Exchange Act of 1934, as adopted pursuant to Section 302 of the Sarbanes-Oxley Act of 2002.</w:t>
      </w:r>
    </w:p>
    <w:p>
      <w:pPr>
        <w:spacing w:after="0" w:line="162" w:lineRule="exact"/>
        <w:rPr>
          <w:sz w:val="20"/>
          <w:szCs w:val="20"/>
          <w:color w:val="auto"/>
        </w:rPr>
      </w:pPr>
    </w:p>
    <w:p>
      <w:pPr>
        <w:ind w:left="1020" w:right="319" w:hanging="523"/>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Principal Financial Officer Pursuant to Rules 13a-14(a) and 15d-14(a) under the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Exchange Act of 1934, as adopted pursuant to Section 302 of the Sarbanes-Oxley Act of 2002.</w:t>
      </w:r>
    </w:p>
    <w:p>
      <w:pPr>
        <w:spacing w:after="0" w:line="162" w:lineRule="exact"/>
        <w:rPr>
          <w:sz w:val="20"/>
          <w:szCs w:val="20"/>
          <w:color w:val="auto"/>
        </w:rPr>
      </w:pPr>
    </w:p>
    <w:p>
      <w:pPr>
        <w:ind w:left="1020" w:right="599" w:hanging="613"/>
        <w:spacing w:after="0" w:line="282"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of Principal Executive Officer Pursuant to 18 U.S.C. Section 1350 as adopted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906 of the Sarbanes-Oxley Act of 2002.</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EE"/>
        </w:rPr>
        <w:t>Certification of Principal Financial Officer Pursuant to 18 U.S.C. Section 1350 as adopted pursuant to Section</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EE"/>
        </w:rPr>
        <w:t>906 of the Sarbanes-Oxley Act of 2002.</w:t>
      </w:r>
    </w:p>
    <w:p>
      <w:pPr>
        <w:spacing w:after="0" w:line="207" w:lineRule="exact"/>
        <w:rPr>
          <w:sz w:val="20"/>
          <w:szCs w:val="20"/>
          <w:color w:val="auto"/>
        </w:rPr>
      </w:pPr>
    </w:p>
    <w:p>
      <w:pPr>
        <w:ind w:left="1020" w:right="679" w:hanging="762"/>
        <w:spacing w:after="0" w:line="282" w:lineRule="auto"/>
        <w:tabs>
          <w:tab w:leader="none" w:pos="6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 Inline XBRL Instance Document – the instance document does not appear in the Interactive Data File because its XBRL tags are embedded within the Inline XBRL document</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225" w:lineRule="exact"/>
        <w:rPr>
          <w:sz w:val="20"/>
          <w:szCs w:val="20"/>
          <w:color w:val="auto"/>
        </w:rPr>
      </w:pPr>
    </w:p>
    <w:p>
      <w:pPr>
        <w:ind w:left="1020" w:right="319" w:hanging="382"/>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for the quarter ended May 9, 2026, has been formatted in Inline XBRL.</w:t>
      </w:r>
    </w:p>
    <w:p>
      <w:pPr>
        <w:spacing w:after="0" w:line="16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jc w:val="cente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AUTOZONE, INC.</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/s/ JAMERE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17145</wp:posOffset>
            </wp:positionV>
            <wp:extent cx="2846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Jamere Jackson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/s/ J. SCOTT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17145</wp:posOffset>
            </wp:positionV>
            <wp:extent cx="2846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J. Scott Murphy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Vice President, Controller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June 12, 2026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AutoZone, Inc.</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are aware of the incorporation by reference in the following Registration Statements: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Registration Statement (Form S-8 No. 333-139559) pertaining to the AutoZone, Inc. 2006 Stock Option Plan</w:t>
      </w:r>
    </w:p>
    <w:p>
      <w:pPr>
        <w:spacing w:after="0" w:line="225" w:lineRule="exact"/>
        <w:rPr>
          <w:sz w:val="20"/>
          <w:szCs w:val="20"/>
          <w:color w:val="auto"/>
        </w:rPr>
      </w:pPr>
    </w:p>
    <w:p>
      <w:pPr>
        <w:ind w:left="840" w:right="400"/>
        <w:spacing w:after="0" w:line="282" w:lineRule="auto"/>
        <w:rPr>
          <w:sz w:val="20"/>
          <w:szCs w:val="20"/>
          <w:color w:val="auto"/>
        </w:rPr>
      </w:pPr>
      <w:r>
        <w:rPr>
          <w:rFonts w:ascii="Times New Roman" w:cs="Times New Roman" w:eastAsia="Times New Roman" w:hAnsi="Times New Roman"/>
          <w:sz w:val="18"/>
          <w:szCs w:val="18"/>
          <w:color w:val="auto"/>
        </w:rPr>
        <w:t>Registration Statement (Form S-8 No. 333-103665) pertaining to the AutoZone, Inc. 2003 Director Compensation Award Plan</w:t>
      </w:r>
    </w:p>
    <w:p>
      <w:pPr>
        <w:spacing w:after="0" w:line="162" w:lineRule="exact"/>
        <w:rPr>
          <w:sz w:val="20"/>
          <w:szCs w:val="20"/>
          <w:color w:val="auto"/>
        </w:rPr>
      </w:pPr>
    </w:p>
    <w:p>
      <w:pPr>
        <w:ind w:left="840" w:right="140"/>
        <w:spacing w:after="0" w:line="282" w:lineRule="auto"/>
        <w:rPr>
          <w:sz w:val="20"/>
          <w:szCs w:val="20"/>
          <w:color w:val="auto"/>
        </w:rPr>
      </w:pPr>
      <w:r>
        <w:rPr>
          <w:rFonts w:ascii="Times New Roman" w:cs="Times New Roman" w:eastAsia="Times New Roman" w:hAnsi="Times New Roman"/>
          <w:sz w:val="18"/>
          <w:szCs w:val="18"/>
          <w:color w:val="auto"/>
        </w:rPr>
        <w:t>Registration Statement (Form S-8 No. 333-42797) pertaining to the AutoZone, Inc. Amended and Restated Employee Stock Purchase Plan</w:t>
      </w:r>
    </w:p>
    <w:p>
      <w:pPr>
        <w:spacing w:after="0" w:line="162" w:lineRule="exact"/>
        <w:rPr>
          <w:sz w:val="20"/>
          <w:szCs w:val="20"/>
          <w:color w:val="auto"/>
        </w:rPr>
      </w:pPr>
    </w:p>
    <w:p>
      <w:pPr>
        <w:ind w:left="840" w:right="260"/>
        <w:spacing w:after="0" w:line="282" w:lineRule="auto"/>
        <w:rPr>
          <w:sz w:val="20"/>
          <w:szCs w:val="20"/>
          <w:color w:val="auto"/>
        </w:rPr>
      </w:pPr>
      <w:r>
        <w:rPr>
          <w:rFonts w:ascii="Times New Roman" w:cs="Times New Roman" w:eastAsia="Times New Roman" w:hAnsi="Times New Roman"/>
          <w:sz w:val="18"/>
          <w:szCs w:val="18"/>
          <w:color w:val="auto"/>
        </w:rPr>
        <w:t>Registration Statement (Form S-8 No. 333-88241) pertaining to the AutoZone, Inc. Amended and Restated Director Compensation Plan</w:t>
      </w:r>
    </w:p>
    <w:p>
      <w:pPr>
        <w:spacing w:after="0" w:line="162" w:lineRule="exact"/>
        <w:rPr>
          <w:sz w:val="20"/>
          <w:szCs w:val="20"/>
          <w:color w:val="auto"/>
        </w:rPr>
      </w:pPr>
    </w:p>
    <w:p>
      <w:pPr>
        <w:ind w:left="840" w:right="20"/>
        <w:spacing w:after="0" w:line="500" w:lineRule="auto"/>
        <w:rPr>
          <w:sz w:val="20"/>
          <w:szCs w:val="20"/>
          <w:color w:val="auto"/>
        </w:rPr>
      </w:pPr>
      <w:r>
        <w:rPr>
          <w:rFonts w:ascii="Times New Roman" w:cs="Times New Roman" w:eastAsia="Times New Roman" w:hAnsi="Times New Roman"/>
          <w:sz w:val="18"/>
          <w:szCs w:val="18"/>
          <w:color w:val="auto"/>
        </w:rPr>
        <w:t>Registration Statement (Form S-8 No. 333-75140) pertaining to the AutoZone, Inc. Executive Stock Purchase Plan Registration Statement (Form S-8 No. 333-171186) pertaining to the AutoZone, Inc. 2011 Equity Incentive Award Plan Registration Statement (Form S-3ASR No. 333-180768) pertaining to a shelf registration to sell debt securities Registration Statement (Form S-3ASR No. 333-203439) pertaining to a shelf registration to sell debt securities Registration Statement (Form S-3ASR No. 333-230719) pertaining to a shelf registration to sell debt securities</w:t>
      </w:r>
    </w:p>
    <w:p>
      <w:pPr>
        <w:spacing w:after="0" w:line="4" w:lineRule="exact"/>
        <w:rPr>
          <w:sz w:val="20"/>
          <w:szCs w:val="20"/>
          <w:color w:val="auto"/>
        </w:rPr>
      </w:pPr>
    </w:p>
    <w:p>
      <w:pPr>
        <w:ind w:left="840" w:right="200"/>
        <w:spacing w:after="0" w:line="282" w:lineRule="auto"/>
        <w:rPr>
          <w:sz w:val="20"/>
          <w:szCs w:val="20"/>
          <w:color w:val="auto"/>
        </w:rPr>
      </w:pPr>
      <w:r>
        <w:rPr>
          <w:rFonts w:ascii="Times New Roman" w:cs="Times New Roman" w:eastAsia="Times New Roman" w:hAnsi="Times New Roman"/>
          <w:sz w:val="18"/>
          <w:szCs w:val="18"/>
          <w:color w:val="auto"/>
        </w:rPr>
        <w:t>Registration Statement (Form S-8 No. 333-251506) pertaining to the AutoZone, Inc. 2020 Omnibus Incentive Award Plan</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Registration Statement (Form S-3ASR No. 333-266209) pertaining to a shelf registration to sell debt securities;</w:t>
      </w:r>
    </w:p>
    <w:p>
      <w:pPr>
        <w:spacing w:after="0" w:line="225" w:lineRule="exact"/>
        <w:rPr>
          <w:sz w:val="20"/>
          <w:szCs w:val="20"/>
          <w:color w:val="auto"/>
        </w:rPr>
      </w:pPr>
    </w:p>
    <w:p>
      <w:pPr>
        <w:ind w:left="200" w:right="440"/>
        <w:spacing w:after="0" w:line="282" w:lineRule="auto"/>
        <w:rPr>
          <w:sz w:val="20"/>
          <w:szCs w:val="20"/>
          <w:color w:val="auto"/>
        </w:rPr>
      </w:pPr>
      <w:r>
        <w:rPr>
          <w:rFonts w:ascii="Times New Roman" w:cs="Times New Roman" w:eastAsia="Times New Roman" w:hAnsi="Times New Roman"/>
          <w:sz w:val="18"/>
          <w:szCs w:val="18"/>
          <w:color w:val="auto"/>
        </w:rPr>
        <w:t>and in the related Prospectuses of our report dated June 12, 2026, relating to the unaudited condensed consolidated interim financial statements of AutoZone, Inc. that are included in its Form 10-Q for the quarter ended May 9, 2026.</w:t>
      </w: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B. Daniele, III, certify that:</w:t>
      </w:r>
    </w:p>
    <w:p>
      <w:pPr>
        <w:spacing w:after="0" w:line="22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AutoZone, Inc. (“registrant”);</w:t>
      </w:r>
    </w:p>
    <w:p>
      <w:pPr>
        <w:spacing w:after="0" w:line="22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980" w:right="60" w:hanging="323"/>
        <w:spacing w:after="0" w:line="257"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980" w:right="420" w:hanging="324"/>
        <w:spacing w:after="0" w:line="265" w:lineRule="auto"/>
        <w:tabs>
          <w:tab w:leader="none" w:pos="95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980" w:right="280" w:hanging="324"/>
        <w:spacing w:after="0" w:line="250" w:lineRule="auto"/>
        <w:tabs>
          <w:tab w:leader="none" w:pos="9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980" w:right="20" w:hanging="324"/>
        <w:spacing w:after="0" w:line="255" w:lineRule="auto"/>
        <w:tabs>
          <w:tab w:leader="none" w:pos="9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57" w:lineRule="auto"/>
        <w:tabs>
          <w:tab w:leader="none" w:pos="9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980" w:right="620" w:hanging="324"/>
        <w:spacing w:after="0" w:line="260" w:lineRule="auto"/>
        <w:tabs>
          <w:tab w:leader="none" w:pos="100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PHILIP B. DANIELE,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Philip B. Daniele, III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1360" w:right="1360" w:firstLine="63"/>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Jamere Jackson, certify that:</w:t>
      </w:r>
    </w:p>
    <w:p>
      <w:pPr>
        <w:spacing w:after="0" w:line="225"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AutoZone, Inc. (“registrant”);</w:t>
      </w:r>
    </w:p>
    <w:p>
      <w:pPr>
        <w:spacing w:after="0" w:line="22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40" w:hanging="324"/>
        <w:spacing w:after="0" w:line="257" w:lineRule="auto"/>
        <w:tabs>
          <w:tab w:leader="none" w:pos="9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420" w:hanging="324"/>
        <w:spacing w:after="0" w:line="265" w:lineRule="auto"/>
        <w:tabs>
          <w:tab w:leader="none" w:pos="956"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980" w:right="280" w:hanging="324"/>
        <w:spacing w:after="0" w:line="250" w:lineRule="auto"/>
        <w:tabs>
          <w:tab w:leader="none" w:pos="9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980" w:right="20" w:hanging="324"/>
        <w:spacing w:after="0" w:line="255" w:lineRule="auto"/>
        <w:tabs>
          <w:tab w:leader="none" w:pos="9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57" w:lineRule="auto"/>
        <w:tabs>
          <w:tab w:leader="none" w:pos="9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980" w:right="660" w:hanging="324"/>
        <w:spacing w:after="0" w:line="260" w:lineRule="auto"/>
        <w:tabs>
          <w:tab w:leader="none" w:pos="9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JAMERE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Jamere Jackson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AutoZone, Inc. (the “Company”) on Form 10-Q for the period ended May 9, 2026, as filed with the Securities and Exchange Commission on the date hereof (the “Report”), I, Philip B. Daniele, III, certify, pursuant to 18 U.S.C. Section 1350, as adopted pursuant to Section 906 of the Sarbanes-Oxley Act of 2002, that:</w:t>
      </w:r>
    </w:p>
    <w:p>
      <w:pPr>
        <w:spacing w:after="0" w:line="176" w:lineRule="exact"/>
        <w:rPr>
          <w:sz w:val="20"/>
          <w:szCs w:val="20"/>
          <w:color w:val="auto"/>
        </w:rPr>
      </w:pPr>
    </w:p>
    <w:p>
      <w:pPr>
        <w:ind w:left="1300" w:right="260" w:hanging="644"/>
        <w:spacing w:after="0" w:line="282" w:lineRule="auto"/>
        <w:tabs>
          <w:tab w:leader="none" w:pos="13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PHILIP B. DANIELE,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Philip B. Daniele, III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AutoZone, Inc. (the “Company”) on Form 10-Q for the period ended May 9, 2026, as filed with the Securities and Exchange Commission on the date hereof (the “Report”), I, Jamere Jackson, certify, pursuant to 18 U.S.C. Section 1350, as adopted pursuant to Section 906 of the Sarbanes-Oxley Act of 2002, that:</w:t>
      </w:r>
    </w:p>
    <w:p>
      <w:pPr>
        <w:spacing w:after="0" w:line="176" w:lineRule="exact"/>
        <w:rPr>
          <w:sz w:val="20"/>
          <w:szCs w:val="20"/>
          <w:color w:val="auto"/>
        </w:rPr>
      </w:pPr>
    </w:p>
    <w:p>
      <w:pPr>
        <w:ind w:left="1320" w:right="260" w:hanging="664"/>
        <w:spacing w:after="0" w:line="282" w:lineRule="auto"/>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JAMERE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Jamere Jackson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emdash "/>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2"/>
    </w:lvl>
  </w:abstractNum>
  <w:abstractNum w:abstractNumId="9">
    <w:nsid w:val="DED7263"/>
    <w:multiLevelType w:val="hybridMultilevel"/>
    <w:lvl w:ilvl="0">
      <w:lvlJc w:val="left"/>
      <w:lvlText w:val="%1."/>
      <w:numFmt w:val="decimal"/>
      <w:start w:val="101"/>
    </w:lvl>
  </w:abstractNum>
  <w:abstractNum w:abstractNumId="10">
    <w:nsid w:val="7FDCC233"/>
    <w:multiLevelType w:val="hybridMultilevel"/>
    <w:lvl w:ilvl="0">
      <w:lvlJc w:val="left"/>
      <w:lvlText w:val="*"/>
      <w:numFmt w:val="bullet"/>
      <w:start w:val="1"/>
    </w:lvl>
    <w:lvl w:ilvl="1">
      <w:lvlJc w:val="left"/>
      <w:lvlText w:val="%2"/>
      <w:numFmt w:val="decimal"/>
      <w:start w:val="104"/>
    </w:lvl>
  </w:abstractNum>
  <w:abstractNum w:abstractNumId="11">
    <w:nsid w:val="1BEFD79F"/>
    <w:multiLevelType w:val="hybridMultilevel"/>
    <w:lvl w:ilvl="0">
      <w:lvlJc w:val="left"/>
      <w:lvlText w:val="**"/>
      <w:numFmt w:val="bullet"/>
      <w:start w:val="1"/>
    </w:lvl>
    <w:lvl w:ilvl="1">
      <w:lvlJc w:val="left"/>
      <w:lvlText w:val="%2"/>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lvl w:ilvl="1">
      <w:lvlJc w:val="left"/>
      <w:lvlText w:val="(%2)"/>
      <w:numFmt w:val="lowerLetter"/>
      <w:start w:val="2"/>
    </w:lvl>
  </w:abstractNum>
  <w:abstractNum w:abstractNumId="14">
    <w:nsid w:val="4E6AFB66"/>
    <w:multiLevelType w:val="hybridMultilevel"/>
    <w:lvl w:ilvl="0">
      <w:lvlJc w:val="left"/>
      <w:lvlText w:val="%1."/>
      <w:numFmt w:val="decimal"/>
      <w:start w:val="5"/>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Roman"/>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0"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69" Type="http://schemas.openxmlformats.org/officeDocument/2006/relationships/hyperlink" Target="http://www.sec.gov/Archives/edgar/data/866787/0000866787-99-000003.txt" TargetMode="External"/><Relationship Id="rId71" Type="http://schemas.openxmlformats.org/officeDocument/2006/relationships/hyperlink" Target="https://www.sec.gov/Archives/edgar/data/866787/000117184325001937/exh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2026-06-12T15:53:52Z</dcterms:created>
  <dcterms:modified xsi:type="dcterms:W3CDTF">2026-06-12T15:53:52Z</dcterms:modified>
</cp:coreProperties>
</file>